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简体"/>
          <w:snapToGrid w:val="0"/>
          <w:kern w:val="0"/>
          <w:sz w:val="44"/>
          <w:szCs w:val="44"/>
        </w:rPr>
      </w:pPr>
      <w:r>
        <w:rPr>
          <w:rFonts w:eastAsia="方正小标宋简体"/>
          <w:snapToGrid w:val="0"/>
          <w:kern w:val="0"/>
          <w:sz w:val="44"/>
          <w:szCs w:val="44"/>
        </w:rPr>
        <w:t>黑龙江省人民政府关于2022年上半年</w:t>
      </w:r>
    </w:p>
    <w:p>
      <w:pPr>
        <w:snapToGrid w:val="0"/>
        <w:spacing w:line="600" w:lineRule="exact"/>
        <w:jc w:val="center"/>
        <w:rPr>
          <w:rFonts w:eastAsia="方正小标宋简体"/>
          <w:snapToGrid w:val="0"/>
          <w:kern w:val="0"/>
          <w:sz w:val="44"/>
          <w:szCs w:val="44"/>
        </w:rPr>
      </w:pPr>
      <w:r>
        <w:rPr>
          <w:rFonts w:eastAsia="方正小标宋简体"/>
          <w:snapToGrid w:val="0"/>
          <w:kern w:val="0"/>
          <w:sz w:val="44"/>
          <w:szCs w:val="44"/>
        </w:rPr>
        <w:t>预算执行情况的报告</w:t>
      </w:r>
    </w:p>
    <w:p>
      <w:pPr>
        <w:snapToGrid w:val="0"/>
        <w:spacing w:line="600" w:lineRule="exact"/>
        <w:jc w:val="center"/>
        <w:rPr>
          <w:rFonts w:eastAsia="仿宋_GB2312"/>
          <w:snapToGrid w:val="0"/>
          <w:kern w:val="0"/>
          <w:sz w:val="32"/>
          <w:szCs w:val="32"/>
        </w:rPr>
      </w:pPr>
    </w:p>
    <w:p>
      <w:pPr>
        <w:snapToGrid w:val="0"/>
        <w:spacing w:line="600" w:lineRule="exact"/>
        <w:jc w:val="center"/>
        <w:outlineLvl w:val="0"/>
        <w:rPr>
          <w:rFonts w:eastAsia="仿宋_GB2312"/>
          <w:snapToGrid w:val="0"/>
          <w:kern w:val="0"/>
          <w:sz w:val="36"/>
          <w:szCs w:val="36"/>
        </w:rPr>
      </w:pPr>
      <w:r>
        <w:rPr>
          <w:rFonts w:eastAsia="仿宋"/>
          <w:snapToGrid w:val="0"/>
          <w:kern w:val="0"/>
          <w:sz w:val="36"/>
          <w:szCs w:val="36"/>
        </w:rPr>
        <w:t>——</w:t>
      </w:r>
      <w:r>
        <w:rPr>
          <w:rFonts w:eastAsia="仿宋_GB2312"/>
          <w:snapToGrid w:val="0"/>
          <w:kern w:val="0"/>
          <w:sz w:val="36"/>
          <w:szCs w:val="36"/>
        </w:rPr>
        <w:t>2022年8月23日在黑龙江省第十三届人民代表大会</w:t>
      </w:r>
    </w:p>
    <w:p>
      <w:pPr>
        <w:snapToGrid w:val="0"/>
        <w:spacing w:line="600" w:lineRule="exact"/>
        <w:jc w:val="center"/>
        <w:outlineLvl w:val="0"/>
        <w:rPr>
          <w:rFonts w:eastAsia="仿宋_GB2312"/>
          <w:snapToGrid w:val="0"/>
          <w:kern w:val="0"/>
          <w:sz w:val="36"/>
          <w:szCs w:val="36"/>
        </w:rPr>
      </w:pPr>
      <w:r>
        <w:rPr>
          <w:rFonts w:eastAsia="仿宋_GB2312"/>
          <w:snapToGrid w:val="0"/>
          <w:kern w:val="0"/>
          <w:sz w:val="36"/>
          <w:szCs w:val="36"/>
        </w:rPr>
        <w:t>常务委员会第三十五次会议上</w:t>
      </w:r>
    </w:p>
    <w:p>
      <w:pPr>
        <w:snapToGrid w:val="0"/>
        <w:spacing w:line="600" w:lineRule="exact"/>
        <w:jc w:val="center"/>
        <w:rPr>
          <w:rFonts w:eastAsia="楷体_GB2312"/>
          <w:snapToGrid w:val="0"/>
          <w:kern w:val="0"/>
          <w:sz w:val="32"/>
          <w:szCs w:val="32"/>
        </w:rPr>
      </w:pPr>
    </w:p>
    <w:p>
      <w:pPr>
        <w:snapToGrid w:val="0"/>
        <w:spacing w:line="600" w:lineRule="exact"/>
        <w:jc w:val="center"/>
        <w:rPr>
          <w:rFonts w:eastAsia="楷体_GB2312"/>
          <w:snapToGrid w:val="0"/>
          <w:kern w:val="0"/>
          <w:sz w:val="32"/>
          <w:szCs w:val="32"/>
        </w:rPr>
      </w:pPr>
      <w:r>
        <w:rPr>
          <w:rFonts w:eastAsia="仿宋_GB2312"/>
          <w:snapToGrid w:val="0"/>
          <w:kern w:val="0"/>
          <w:sz w:val="36"/>
          <w:szCs w:val="36"/>
        </w:rPr>
        <w:t xml:space="preserve">黑龙江省财政厅厅长 </w:t>
      </w:r>
      <w:r>
        <w:rPr>
          <w:rFonts w:hAnsi="楷体" w:eastAsia="楷体"/>
          <w:snapToGrid w:val="0"/>
          <w:kern w:val="0"/>
          <w:sz w:val="36"/>
          <w:szCs w:val="36"/>
        </w:rPr>
        <w:t>孟祥会</w:t>
      </w:r>
    </w:p>
    <w:p>
      <w:pPr>
        <w:snapToGrid w:val="0"/>
        <w:spacing w:line="600" w:lineRule="exact"/>
        <w:jc w:val="center"/>
        <w:rPr>
          <w:rFonts w:eastAsia="仿宋_GB2312"/>
          <w:sz w:val="32"/>
          <w:szCs w:val="32"/>
        </w:rPr>
      </w:pPr>
    </w:p>
    <w:p>
      <w:pPr>
        <w:adjustRightInd w:val="0"/>
        <w:snapToGrid w:val="0"/>
        <w:spacing w:line="600" w:lineRule="exact"/>
        <w:jc w:val="left"/>
        <w:rPr>
          <w:rFonts w:eastAsia="仿宋_GB2312"/>
          <w:sz w:val="36"/>
          <w:szCs w:val="36"/>
        </w:rPr>
      </w:pPr>
      <w:r>
        <w:rPr>
          <w:rFonts w:eastAsia="仿宋_GB2312"/>
          <w:sz w:val="36"/>
          <w:szCs w:val="36"/>
        </w:rPr>
        <w:t>主任、各位副主任、秘书长、各位委员：</w:t>
      </w:r>
    </w:p>
    <w:p>
      <w:pPr>
        <w:adjustRightInd w:val="0"/>
        <w:snapToGrid w:val="0"/>
        <w:spacing w:line="600" w:lineRule="exact"/>
        <w:ind w:firstLine="720" w:firstLineChars="200"/>
        <w:jc w:val="left"/>
        <w:rPr>
          <w:rFonts w:eastAsia="仿宋_GB2312"/>
          <w:sz w:val="36"/>
          <w:szCs w:val="36"/>
        </w:rPr>
      </w:pPr>
      <w:r>
        <w:rPr>
          <w:rFonts w:eastAsia="仿宋_GB2312"/>
          <w:sz w:val="36"/>
          <w:szCs w:val="36"/>
        </w:rPr>
        <w:t>受省政府委托，现将2022年上半年全省预算执行情况向省人大常委会报告如下：</w:t>
      </w:r>
    </w:p>
    <w:p>
      <w:pPr>
        <w:autoSpaceDE w:val="0"/>
        <w:spacing w:line="600" w:lineRule="exact"/>
        <w:ind w:firstLine="720" w:firstLineChars="200"/>
        <w:contextualSpacing/>
        <w:rPr>
          <w:rFonts w:eastAsia="仿宋_GB2312"/>
          <w:sz w:val="36"/>
          <w:szCs w:val="36"/>
        </w:rPr>
      </w:pPr>
      <w:r>
        <w:rPr>
          <w:rFonts w:eastAsia="仿宋_GB2312"/>
          <w:sz w:val="36"/>
          <w:szCs w:val="36"/>
        </w:rPr>
        <w:t>年初以来，全省各级财政部门坚持以习近平新时代中国特色社会主义思想为引领，深入贯彻省第十三次党代会、省委第十二届十一次全会暨省委经济工作会议精神，按照疫情要防住、经济要稳住、发展要安全的要求，坚持积极财政政策要提升效能、更加注重精准、可持续，积极有为发挥财政职能作用，财政收入实现“时间过半、任务过半”目标，各项重点支出保障有力，预算执行情况较好。</w:t>
      </w:r>
    </w:p>
    <w:p>
      <w:pPr>
        <w:pStyle w:val="5"/>
        <w:snapToGrid w:val="0"/>
        <w:spacing w:line="600" w:lineRule="exact"/>
        <w:ind w:firstLine="720" w:firstLineChars="200"/>
        <w:rPr>
          <w:rFonts w:ascii="Times New Roman" w:hAnsi="Times New Roman" w:eastAsia="黑体" w:cs="Times New Roman"/>
          <w:snapToGrid w:val="0"/>
          <w:kern w:val="2"/>
          <w:sz w:val="36"/>
          <w:szCs w:val="36"/>
        </w:rPr>
      </w:pPr>
      <w:r>
        <w:rPr>
          <w:rFonts w:ascii="Times New Roman" w:hAnsi="Times New Roman" w:eastAsia="黑体" w:cs="Times New Roman"/>
          <w:snapToGrid w:val="0"/>
          <w:kern w:val="2"/>
          <w:sz w:val="36"/>
          <w:szCs w:val="36"/>
        </w:rPr>
        <w:t>一、上半年全省预算执行情况</w:t>
      </w:r>
    </w:p>
    <w:p>
      <w:pPr>
        <w:adjustRightInd w:val="0"/>
        <w:snapToGrid w:val="0"/>
        <w:spacing w:line="600" w:lineRule="exact"/>
        <w:ind w:firstLine="720" w:firstLineChars="200"/>
        <w:rPr>
          <w:rFonts w:eastAsia="楷体_GB2312"/>
          <w:sz w:val="36"/>
          <w:szCs w:val="36"/>
        </w:rPr>
      </w:pPr>
      <w:r>
        <w:rPr>
          <w:rFonts w:eastAsia="楷体_GB2312"/>
          <w:sz w:val="36"/>
          <w:szCs w:val="36"/>
        </w:rPr>
        <w:t>（一）一般公共预算收支情况</w:t>
      </w:r>
    </w:p>
    <w:p>
      <w:pPr>
        <w:adjustRightInd w:val="0"/>
        <w:snapToGrid w:val="0"/>
        <w:spacing w:line="600" w:lineRule="exact"/>
        <w:ind w:firstLine="720" w:firstLineChars="200"/>
        <w:rPr>
          <w:rFonts w:eastAsia="仿宋_GB2312"/>
          <w:sz w:val="36"/>
          <w:szCs w:val="36"/>
        </w:rPr>
      </w:pPr>
      <w:r>
        <w:rPr>
          <w:rFonts w:eastAsia="仿宋_GB2312"/>
          <w:sz w:val="36"/>
          <w:szCs w:val="36"/>
        </w:rPr>
        <w:t>上半年，全省</w:t>
      </w:r>
      <w:r>
        <w:rPr>
          <w:rFonts w:eastAsia="仿宋_GB2312"/>
          <w:b/>
          <w:sz w:val="36"/>
          <w:szCs w:val="36"/>
        </w:rPr>
        <w:t>一般公共预算收入</w:t>
      </w:r>
      <w:r>
        <w:rPr>
          <w:rFonts w:eastAsia="仿宋_GB2312"/>
          <w:sz w:val="36"/>
          <w:szCs w:val="36"/>
        </w:rPr>
        <w:t>完成655亿元，扣除留抵退税因素后，可比口径增长9.9%（自然口径下降1.4%），可比口径收入完成年初预算的53.5%。从构成看，</w:t>
      </w:r>
      <w:r>
        <w:rPr>
          <w:rFonts w:eastAsia="仿宋_GB2312"/>
          <w:b/>
          <w:sz w:val="36"/>
          <w:szCs w:val="36"/>
        </w:rPr>
        <w:t>税收收入</w:t>
      </w:r>
      <w:r>
        <w:rPr>
          <w:rFonts w:eastAsia="仿宋_GB2312"/>
          <w:sz w:val="36"/>
          <w:szCs w:val="36"/>
        </w:rPr>
        <w:t>完成370.2亿元，可比口径增长1.2%（自然口径下降16.1%）；</w:t>
      </w:r>
      <w:r>
        <w:rPr>
          <w:rFonts w:eastAsia="仿宋_GB2312"/>
          <w:b/>
          <w:sz w:val="36"/>
          <w:szCs w:val="36"/>
        </w:rPr>
        <w:t>非税收入</w:t>
      </w:r>
      <w:r>
        <w:rPr>
          <w:rFonts w:eastAsia="仿宋_GB2312"/>
          <w:sz w:val="36"/>
          <w:szCs w:val="36"/>
        </w:rPr>
        <w:t>完成284.8亿元，增长27.6%。从级次看，省本级153.2亿元，可比口径增长26%；市（地）级501.8亿元，可比口径增长5.5%。全省</w:t>
      </w:r>
      <w:r>
        <w:rPr>
          <w:rFonts w:eastAsia="仿宋_GB2312"/>
          <w:b/>
          <w:sz w:val="36"/>
          <w:szCs w:val="36"/>
        </w:rPr>
        <w:t>一般公共预算支出</w:t>
      </w:r>
      <w:r>
        <w:rPr>
          <w:rFonts w:eastAsia="仿宋_GB2312"/>
          <w:sz w:val="36"/>
          <w:szCs w:val="36"/>
        </w:rPr>
        <w:t>完成2676.7亿元，增长8.1%。其中：省本级878.4亿元，增长7.4%；市（地）级1798.3亿元，增长8.4% 。</w:t>
      </w:r>
    </w:p>
    <w:p>
      <w:pPr>
        <w:adjustRightInd w:val="0"/>
        <w:snapToGrid w:val="0"/>
        <w:spacing w:line="600" w:lineRule="exact"/>
        <w:ind w:firstLine="720" w:firstLineChars="200"/>
        <w:outlineLvl w:val="0"/>
        <w:rPr>
          <w:rFonts w:eastAsia="楷体_GB2312"/>
          <w:sz w:val="36"/>
          <w:szCs w:val="36"/>
        </w:rPr>
      </w:pPr>
      <w:r>
        <w:rPr>
          <w:rFonts w:eastAsia="楷体_GB2312"/>
          <w:sz w:val="36"/>
          <w:szCs w:val="36"/>
        </w:rPr>
        <w:t>（二）政府性基金预算收支情况</w:t>
      </w:r>
    </w:p>
    <w:p>
      <w:pPr>
        <w:adjustRightInd w:val="0"/>
        <w:snapToGrid w:val="0"/>
        <w:spacing w:line="600" w:lineRule="exact"/>
        <w:ind w:firstLine="720" w:firstLineChars="200"/>
        <w:outlineLvl w:val="0"/>
        <w:rPr>
          <w:rFonts w:eastAsia="楷体_GB2312"/>
          <w:sz w:val="36"/>
          <w:szCs w:val="36"/>
        </w:rPr>
      </w:pPr>
      <w:r>
        <w:rPr>
          <w:rFonts w:eastAsia="仿宋_GB2312"/>
          <w:sz w:val="36"/>
          <w:szCs w:val="36"/>
        </w:rPr>
        <w:t>上半年，全省</w:t>
      </w:r>
      <w:r>
        <w:rPr>
          <w:rFonts w:eastAsia="仿宋_GB2312"/>
          <w:b/>
          <w:sz w:val="36"/>
          <w:szCs w:val="36"/>
        </w:rPr>
        <w:t>政府性基金预算收入</w:t>
      </w:r>
      <w:r>
        <w:rPr>
          <w:rFonts w:eastAsia="仿宋_GB2312"/>
          <w:sz w:val="36"/>
          <w:szCs w:val="36"/>
        </w:rPr>
        <w:t>完成67.2亿元，完成年初预算的16.3%，下降55%。其中：省本级3亿元，下降56.8%；市（地）级64.2亿元，下降54.8%。全省</w:t>
      </w:r>
      <w:r>
        <w:rPr>
          <w:rFonts w:eastAsia="仿宋_GB2312"/>
          <w:b/>
          <w:sz w:val="36"/>
          <w:szCs w:val="36"/>
        </w:rPr>
        <w:t>政府性基金预算支出</w:t>
      </w:r>
      <w:r>
        <w:rPr>
          <w:rFonts w:eastAsia="仿宋_GB2312"/>
          <w:sz w:val="36"/>
          <w:szCs w:val="36"/>
        </w:rPr>
        <w:t>完成223.6亿元，增长17%。其中，省本级15.4亿元，下降68.6%；市（地）级208.1亿元，增长46.6%。</w:t>
      </w:r>
    </w:p>
    <w:p>
      <w:pPr>
        <w:adjustRightInd w:val="0"/>
        <w:snapToGrid w:val="0"/>
        <w:spacing w:line="600" w:lineRule="exact"/>
        <w:ind w:firstLine="720" w:firstLineChars="200"/>
        <w:outlineLvl w:val="0"/>
        <w:rPr>
          <w:rFonts w:eastAsia="楷体_GB2312"/>
          <w:sz w:val="36"/>
          <w:szCs w:val="36"/>
        </w:rPr>
      </w:pPr>
      <w:r>
        <w:rPr>
          <w:rFonts w:eastAsia="楷体_GB2312"/>
          <w:sz w:val="36"/>
          <w:szCs w:val="36"/>
        </w:rPr>
        <w:t>（三）国有资本经营预算收支情况</w:t>
      </w:r>
    </w:p>
    <w:p>
      <w:pPr>
        <w:adjustRightInd w:val="0"/>
        <w:snapToGrid w:val="0"/>
        <w:spacing w:line="600" w:lineRule="exact"/>
        <w:ind w:firstLine="720" w:firstLineChars="200"/>
        <w:outlineLvl w:val="0"/>
        <w:rPr>
          <w:rFonts w:eastAsia="仿宋_GB2312"/>
          <w:sz w:val="36"/>
          <w:szCs w:val="36"/>
        </w:rPr>
      </w:pPr>
      <w:r>
        <w:rPr>
          <w:rFonts w:eastAsia="仿宋_GB2312"/>
          <w:sz w:val="36"/>
          <w:szCs w:val="36"/>
        </w:rPr>
        <w:t>上半年，全省</w:t>
      </w:r>
      <w:r>
        <w:rPr>
          <w:rFonts w:eastAsia="仿宋_GB2312"/>
          <w:b/>
          <w:sz w:val="36"/>
          <w:szCs w:val="36"/>
        </w:rPr>
        <w:t>国有资本经营预算收入</w:t>
      </w:r>
      <w:r>
        <w:rPr>
          <w:rFonts w:eastAsia="仿宋_GB2312"/>
          <w:sz w:val="36"/>
          <w:szCs w:val="36"/>
        </w:rPr>
        <w:t>完成</w:t>
      </w:r>
      <w:r>
        <w:rPr>
          <w:rFonts w:eastAsia="楷体_GB2312"/>
          <w:sz w:val="36"/>
          <w:szCs w:val="36"/>
        </w:rPr>
        <w:t>11</w:t>
      </w:r>
      <w:r>
        <w:rPr>
          <w:rFonts w:eastAsia="仿宋_GB2312"/>
          <w:sz w:val="36"/>
          <w:szCs w:val="36"/>
        </w:rPr>
        <w:t>亿元，完成年初预算的75.5%，增长13.3倍。其中：省本级168万元，增长7.4倍；市（地）级11亿元，增长13.3倍。全省</w:t>
      </w:r>
      <w:r>
        <w:rPr>
          <w:rFonts w:eastAsia="仿宋_GB2312"/>
          <w:b/>
          <w:sz w:val="36"/>
          <w:szCs w:val="36"/>
        </w:rPr>
        <w:t>国有资本经营预算支出</w:t>
      </w:r>
      <w:r>
        <w:rPr>
          <w:rFonts w:eastAsia="仿宋_GB2312"/>
          <w:sz w:val="36"/>
          <w:szCs w:val="36"/>
        </w:rPr>
        <w:t>完成7.8亿元，增长2.1倍。其中：省本级3.7亿元，增长153.4倍；市（地）级4.1亿元，增长67.8%。</w:t>
      </w:r>
    </w:p>
    <w:p>
      <w:pPr>
        <w:adjustRightInd w:val="0"/>
        <w:snapToGrid w:val="0"/>
        <w:spacing w:line="600" w:lineRule="exact"/>
        <w:ind w:firstLine="720" w:firstLineChars="200"/>
        <w:outlineLvl w:val="0"/>
        <w:rPr>
          <w:rFonts w:eastAsia="仿宋_GB2312"/>
          <w:sz w:val="36"/>
          <w:szCs w:val="36"/>
        </w:rPr>
      </w:pPr>
      <w:r>
        <w:rPr>
          <w:rFonts w:eastAsia="楷体_GB2312"/>
          <w:sz w:val="36"/>
          <w:szCs w:val="36"/>
        </w:rPr>
        <w:t>（四）社会保险基金预算执行情况</w:t>
      </w:r>
    </w:p>
    <w:p>
      <w:pPr>
        <w:adjustRightInd w:val="0"/>
        <w:snapToGrid w:val="0"/>
        <w:spacing w:line="600" w:lineRule="exact"/>
        <w:ind w:firstLine="720" w:firstLineChars="200"/>
        <w:outlineLvl w:val="0"/>
        <w:rPr>
          <w:rFonts w:eastAsia="仿宋_GB2312"/>
          <w:sz w:val="36"/>
          <w:szCs w:val="36"/>
        </w:rPr>
      </w:pPr>
      <w:r>
        <w:rPr>
          <w:rFonts w:eastAsia="仿宋_GB2312"/>
          <w:sz w:val="36"/>
          <w:szCs w:val="36"/>
        </w:rPr>
        <w:t>上半年，全省</w:t>
      </w:r>
      <w:r>
        <w:rPr>
          <w:rFonts w:eastAsia="仿宋_GB2312"/>
          <w:b/>
          <w:sz w:val="36"/>
          <w:szCs w:val="36"/>
        </w:rPr>
        <w:t>社会保险基金预算收入</w:t>
      </w:r>
      <w:r>
        <w:rPr>
          <w:rFonts w:eastAsia="仿宋_GB2312"/>
          <w:sz w:val="36"/>
          <w:szCs w:val="36"/>
        </w:rPr>
        <w:t>完成1759亿元，完成年初预算的51.3%，增长4.9%。其中：省本级1308.6亿元，增长9.3%；市（地）级450.4亿元，下降6.1%。全省</w:t>
      </w:r>
      <w:r>
        <w:rPr>
          <w:rFonts w:eastAsia="仿宋_GB2312"/>
          <w:b/>
          <w:sz w:val="36"/>
          <w:szCs w:val="36"/>
        </w:rPr>
        <w:t>社会保险基金预算支出</w:t>
      </w:r>
      <w:r>
        <w:rPr>
          <w:rFonts w:eastAsia="仿宋_GB2312"/>
          <w:sz w:val="36"/>
          <w:szCs w:val="36"/>
        </w:rPr>
        <w:t>完成1409亿元，下降1.8%。其中：省本级998.3亿元，增长1%；市（地）级410.7亿元，下降8.2%。</w:t>
      </w:r>
    </w:p>
    <w:p>
      <w:pPr>
        <w:widowControl/>
        <w:adjustRightInd w:val="0"/>
        <w:snapToGrid w:val="0"/>
        <w:spacing w:line="600" w:lineRule="exact"/>
        <w:ind w:firstLine="720" w:firstLineChars="200"/>
        <w:rPr>
          <w:rFonts w:eastAsia="黑体"/>
          <w:snapToGrid w:val="0"/>
          <w:kern w:val="0"/>
          <w:sz w:val="36"/>
          <w:szCs w:val="36"/>
        </w:rPr>
      </w:pPr>
      <w:r>
        <w:rPr>
          <w:rFonts w:eastAsia="黑体"/>
          <w:snapToGrid w:val="0"/>
          <w:kern w:val="0"/>
          <w:sz w:val="36"/>
          <w:szCs w:val="36"/>
        </w:rPr>
        <w:t>二、落实省十三届</w:t>
      </w:r>
      <w:r>
        <w:rPr>
          <w:rFonts w:eastAsia="黑体"/>
          <w:sz w:val="36"/>
          <w:szCs w:val="36"/>
        </w:rPr>
        <w:t>人大六次会议决议有关工作情况</w:t>
      </w:r>
    </w:p>
    <w:p>
      <w:pPr>
        <w:spacing w:line="600" w:lineRule="exact"/>
        <w:ind w:firstLine="720" w:firstLineChars="200"/>
        <w:rPr>
          <w:rFonts w:eastAsia="仿宋_GB2312"/>
          <w:b/>
          <w:color w:val="000000"/>
          <w:sz w:val="36"/>
          <w:szCs w:val="36"/>
        </w:rPr>
      </w:pPr>
      <w:r>
        <w:rPr>
          <w:rFonts w:eastAsia="楷体_GB2312"/>
          <w:color w:val="000000"/>
          <w:sz w:val="36"/>
          <w:szCs w:val="36"/>
        </w:rPr>
        <w:t>（一）全</w:t>
      </w:r>
      <w:r>
        <w:rPr>
          <w:rFonts w:eastAsia="楷体_GB2312"/>
          <w:sz w:val="36"/>
          <w:szCs w:val="36"/>
        </w:rPr>
        <w:t>力落实稳经济财政政策。</w:t>
      </w:r>
      <w:r>
        <w:rPr>
          <w:rFonts w:eastAsia="仿宋_GB2312"/>
          <w:b/>
          <w:color w:val="000000"/>
          <w:sz w:val="36"/>
          <w:szCs w:val="36"/>
        </w:rPr>
        <w:t>减税降费持续发力。</w:t>
      </w:r>
      <w:r>
        <w:rPr>
          <w:rFonts w:eastAsia="仿宋_GB2312"/>
          <w:color w:val="000000"/>
          <w:sz w:val="36"/>
          <w:szCs w:val="36"/>
        </w:rPr>
        <w:t>不折不扣落实组合式税费支持政策，上半年累计新增退税减税降费及缓税缓费约245.6亿元，惠及77.2万户（次）市场主体和48.1万自然人。其中，增值税全口径留抵退税171.5亿元。</w:t>
      </w:r>
      <w:r>
        <w:rPr>
          <w:rFonts w:eastAsia="仿宋_GB2312"/>
          <w:b/>
          <w:sz w:val="36"/>
          <w:szCs w:val="36"/>
        </w:rPr>
        <w:t>支持扩大有效投资。</w:t>
      </w:r>
      <w:r>
        <w:rPr>
          <w:rFonts w:eastAsia="仿宋_GB2312"/>
          <w:kern w:val="0"/>
          <w:sz w:val="36"/>
          <w:szCs w:val="36"/>
        </w:rPr>
        <w:t>大力支持省级重点项目建设，安排资金577.7亿元，已拨付到项目单位资金444.3亿元，资金到位率76.9%，有力支持了哈尔滨机场二期扩建、铁</w:t>
      </w:r>
      <w:r>
        <w:rPr>
          <w:rFonts w:eastAsia="仿宋_GB2312"/>
          <w:sz w:val="36"/>
          <w:szCs w:val="36"/>
        </w:rPr>
        <w:t>伊客专、吉黑高速等一批重点项目及时开工建设。</w:t>
      </w:r>
      <w:r>
        <w:rPr>
          <w:rFonts w:eastAsia="仿宋_GB2312"/>
          <w:b/>
          <w:color w:val="000000"/>
          <w:sz w:val="36"/>
          <w:szCs w:val="36"/>
        </w:rPr>
        <w:t>财金联动助力融资。</w:t>
      </w:r>
      <w:r>
        <w:rPr>
          <w:rFonts w:eastAsia="仿宋_GB2312"/>
          <w:color w:val="000000"/>
          <w:sz w:val="36"/>
          <w:szCs w:val="36"/>
        </w:rPr>
        <w:t>再次延长双稳基金担保贷款阶段性延期还本政策执行期限，上半年1173户市场主体的44.7亿元担保贷款延期还本。启动“双稳基金”担保贷款风险补偿政策为97个市场主体提供担保支持2.6亿元。增加10亿元纾困贷款周转金，加大力度解决中小微企业资金周转困难问题。</w:t>
      </w:r>
      <w:r>
        <w:rPr>
          <w:rFonts w:eastAsia="仿宋_GB2312"/>
          <w:b/>
          <w:color w:val="000000"/>
          <w:sz w:val="36"/>
          <w:szCs w:val="36"/>
        </w:rPr>
        <w:t>政府采购加力扶持。</w:t>
      </w:r>
      <w:r>
        <w:rPr>
          <w:rFonts w:eastAsia="仿宋_GB2312"/>
          <w:color w:val="000000"/>
          <w:sz w:val="36"/>
          <w:szCs w:val="36"/>
        </w:rPr>
        <w:t>6月1日以来，全省通过提高小微企业价格扣除、增加预留份额方式，助力中小微企业中标项目507个，采购金额达3亿元；194个政府采购项目提高政府采购合同首付款比例，超前支付中小微企业资金1.5亿元</w:t>
      </w:r>
      <w:r>
        <w:rPr>
          <w:rFonts w:eastAsia="仿宋_GB2312"/>
          <w:kern w:val="0"/>
          <w:sz w:val="36"/>
          <w:szCs w:val="36"/>
        </w:rPr>
        <w:t>。</w:t>
      </w:r>
      <w:r>
        <w:rPr>
          <w:rFonts w:eastAsia="仿宋_GB2312"/>
          <w:b/>
          <w:kern w:val="0"/>
          <w:sz w:val="36"/>
          <w:szCs w:val="36"/>
        </w:rPr>
        <w:t>减租政策加速落地。</w:t>
      </w:r>
      <w:r>
        <w:rPr>
          <w:rFonts w:eastAsia="仿宋_GB2312"/>
          <w:color w:val="000000"/>
          <w:sz w:val="36"/>
          <w:szCs w:val="36"/>
        </w:rPr>
        <w:t>出台行政事业单位房屋租金减免政策，</w:t>
      </w:r>
      <w:r>
        <w:rPr>
          <w:rFonts w:eastAsia="仿宋_GB2312"/>
          <w:sz w:val="36"/>
          <w:szCs w:val="36"/>
        </w:rPr>
        <w:t>截至6月底，全省行政事业单位已为5230个中小微企业和个体工商户减免房屋租金1.8亿元。</w:t>
      </w:r>
    </w:p>
    <w:p>
      <w:pPr>
        <w:spacing w:line="600" w:lineRule="exact"/>
        <w:ind w:firstLine="720" w:firstLineChars="200"/>
        <w:rPr>
          <w:sz w:val="36"/>
          <w:szCs w:val="36"/>
        </w:rPr>
      </w:pPr>
      <w:r>
        <w:rPr>
          <w:rFonts w:eastAsia="楷体_GB2312"/>
          <w:color w:val="000000"/>
          <w:sz w:val="36"/>
          <w:szCs w:val="36"/>
        </w:rPr>
        <w:t>（二）全力推动高质量发展。</w:t>
      </w:r>
      <w:r>
        <w:rPr>
          <w:rFonts w:eastAsia="仿宋_GB2312"/>
          <w:b/>
          <w:color w:val="000000"/>
          <w:sz w:val="36"/>
          <w:szCs w:val="36"/>
        </w:rPr>
        <w:t>支持产业振兴。</w:t>
      </w:r>
      <w:r>
        <w:rPr>
          <w:rFonts w:eastAsia="仿宋_GB2312"/>
          <w:color w:val="000000"/>
          <w:sz w:val="36"/>
          <w:szCs w:val="36"/>
        </w:rPr>
        <w:t>构建财政支持产业发展政策体系，筹集资金98.9亿元，加大力度保障各项政策落地见效，推进数字经济、生物经济、创意设计、冰雪产业等现代产业发展。</w:t>
      </w:r>
      <w:r>
        <w:rPr>
          <w:rFonts w:eastAsia="仿宋_GB2312"/>
          <w:b/>
          <w:color w:val="000000"/>
          <w:sz w:val="36"/>
          <w:szCs w:val="36"/>
        </w:rPr>
        <w:t>支持创新驱动。</w:t>
      </w:r>
      <w:r>
        <w:rPr>
          <w:rFonts w:eastAsia="仿宋_GB2312"/>
          <w:color w:val="000000"/>
          <w:sz w:val="36"/>
          <w:szCs w:val="36"/>
        </w:rPr>
        <w:t>持续加大财政科技专项投入力度，安排专项资金16.4亿元，连续两年保持20%增幅，支持深化省级科技计划管理改革，改进财政科技资金投入及管理方式，助力关键核心技术攻关和科技成果转化。</w:t>
      </w:r>
      <w:r>
        <w:rPr>
          <w:rFonts w:eastAsia="仿宋_GB2312"/>
          <w:b/>
          <w:color w:val="000000"/>
          <w:sz w:val="36"/>
          <w:szCs w:val="36"/>
        </w:rPr>
        <w:t>支持扩大开放。</w:t>
      </w:r>
      <w:r>
        <w:rPr>
          <w:rFonts w:eastAsia="仿宋_GB2312"/>
          <w:color w:val="000000"/>
          <w:sz w:val="36"/>
          <w:szCs w:val="36"/>
        </w:rPr>
        <w:t>拨付资金7.4亿元，支持全省开展招商引资，保障亚布力论坛、世界5G大会等重点招商活动顺利开展，支持边境口岸升级改造、边民互市贸易区建设，及时兑付境外展会和出口信用补贴。创新支持总部经济、文化旅游产业、金融开放等领域招商奖补政策，促进全省招商引资提质增量。</w:t>
      </w:r>
      <w:r>
        <w:rPr>
          <w:rFonts w:eastAsia="仿宋_GB2312"/>
          <w:b/>
          <w:color w:val="000000"/>
          <w:sz w:val="36"/>
          <w:szCs w:val="36"/>
        </w:rPr>
        <w:t>支持国企改革。</w:t>
      </w:r>
      <w:r>
        <w:rPr>
          <w:rFonts w:eastAsia="仿宋_GB2312"/>
          <w:color w:val="000000"/>
          <w:sz w:val="36"/>
          <w:szCs w:val="36"/>
        </w:rPr>
        <w:t>拨付14.4亿元，支持解决龙煤集团18个政策性破产煤矿经常性费用、哈麻集团“3.15”伤员费用、国有企业退休人员社会化管理等问题，推动建设龙煤集团煤矿智能化、新产投集团大庆龙江化工聚碳酸酯等项目。</w:t>
      </w:r>
    </w:p>
    <w:p>
      <w:pPr>
        <w:spacing w:line="600" w:lineRule="exact"/>
        <w:ind w:firstLine="720" w:firstLineChars="200"/>
        <w:rPr>
          <w:sz w:val="36"/>
          <w:szCs w:val="36"/>
        </w:rPr>
      </w:pPr>
      <w:r>
        <w:rPr>
          <w:rFonts w:eastAsia="楷体_GB2312"/>
          <w:color w:val="000000"/>
          <w:sz w:val="36"/>
          <w:szCs w:val="36"/>
        </w:rPr>
        <w:t>（三）全力推动乡村振兴。</w:t>
      </w:r>
      <w:r>
        <w:rPr>
          <w:rFonts w:eastAsia="仿宋_GB2312"/>
          <w:b/>
          <w:color w:val="000000"/>
          <w:sz w:val="36"/>
          <w:szCs w:val="36"/>
        </w:rPr>
        <w:t>促进粮食产能提升。</w:t>
      </w:r>
      <w:r>
        <w:rPr>
          <w:rFonts w:eastAsia="仿宋_GB2312"/>
          <w:sz w:val="36"/>
          <w:szCs w:val="36"/>
        </w:rPr>
        <w:t>安排资金276.5亿元，支持建设高标准农田990万亩，促进实施黑土地保护项目和种业振兴行动，加力建设农业产业园、支持先进农业机械购置等，促进农业保险扩面提标，全省三大粮食作物完全成本保险和种植收入保险实施范围扩展至所有产粮大县，在全国率先开展大豆完全成本保险和种植收入保险试点。</w:t>
      </w:r>
      <w:r>
        <w:rPr>
          <w:rFonts w:eastAsia="仿宋_GB2312"/>
          <w:b/>
          <w:bCs/>
          <w:sz w:val="36"/>
          <w:szCs w:val="36"/>
        </w:rPr>
        <w:t>有效落实强农惠农政策。</w:t>
      </w:r>
      <w:r>
        <w:rPr>
          <w:rFonts w:eastAsia="仿宋_GB2312"/>
          <w:sz w:val="36"/>
          <w:szCs w:val="36"/>
        </w:rPr>
        <w:t>通过“一卡通”等方式将耕地地力保护补贴、种粮农民补贴等134.3亿元直接发放农民手中，为农民保护耕地和种粮增收创造了有利条件。争取中央产粮大县奖励资金78.8亿元，增长5.13%，极大缓解产粮大县财政压力。发挥农业信贷担保体系作用，截至6月底，省农担公司累计为29.7万户农业经营主体提供贷款担保710.4亿元，新增担保、在保余额、累计担保三项指标位居全国农担体系第二位。</w:t>
      </w:r>
      <w:r>
        <w:rPr>
          <w:rFonts w:eastAsia="仿宋_GB2312"/>
          <w:b/>
          <w:sz w:val="36"/>
          <w:szCs w:val="36"/>
        </w:rPr>
        <w:t>大力支持乡村建设。</w:t>
      </w:r>
      <w:r>
        <w:rPr>
          <w:rFonts w:eastAsia="仿宋_GB2312"/>
          <w:sz w:val="36"/>
          <w:szCs w:val="36"/>
        </w:rPr>
        <w:t>安排资金16.6亿元，对农村公益事业建设和美丽乡村给予奖补，扶持590个村发展壮大集体经济，稳妥推进“厕所革命”等，促进改善农村人居环境。</w:t>
      </w:r>
      <w:r>
        <w:rPr>
          <w:rFonts w:eastAsia="仿宋_GB2312"/>
          <w:b/>
          <w:sz w:val="36"/>
          <w:szCs w:val="36"/>
        </w:rPr>
        <w:t>巩固拓展脱贫攻坚成果同乡村振兴有效衔接。</w:t>
      </w:r>
      <w:r>
        <w:rPr>
          <w:rFonts w:eastAsia="仿宋_GB2312"/>
          <w:sz w:val="36"/>
          <w:szCs w:val="36"/>
        </w:rPr>
        <w:t>持续加大衔接推进乡村振兴补助资金投入力度，安排资金51.6亿元，重点支持欠发达地区特色优势产业发展、监测对象和脱贫劳动力就业等项目，推动乡村振兴取得新进展。</w:t>
      </w:r>
    </w:p>
    <w:p>
      <w:pPr>
        <w:spacing w:line="600" w:lineRule="exact"/>
        <w:ind w:firstLine="720" w:firstLineChars="200"/>
        <w:rPr>
          <w:rFonts w:eastAsia="仿宋_GB2312"/>
          <w:sz w:val="36"/>
          <w:szCs w:val="36"/>
        </w:rPr>
      </w:pPr>
      <w:r>
        <w:rPr>
          <w:rFonts w:eastAsia="楷体"/>
          <w:sz w:val="36"/>
          <w:szCs w:val="36"/>
        </w:rPr>
        <w:t>（四）全力稳住基本民生。</w:t>
      </w:r>
      <w:r>
        <w:rPr>
          <w:rFonts w:eastAsia="仿宋_GB2312"/>
          <w:sz w:val="36"/>
          <w:szCs w:val="36"/>
        </w:rPr>
        <w:t>全省财政民生支出2325.1亿元，占一般公共预算支出达86.9%，有力保障民生实事顺利实施。</w:t>
      </w:r>
      <w:r>
        <w:rPr>
          <w:rFonts w:eastAsia="仿宋_GB2312"/>
          <w:b/>
          <w:sz w:val="36"/>
          <w:szCs w:val="36"/>
        </w:rPr>
        <w:t>有力保障疫情防控。</w:t>
      </w:r>
      <w:r>
        <w:rPr>
          <w:rFonts w:eastAsia="仿宋_GB2312"/>
          <w:sz w:val="36"/>
          <w:szCs w:val="36"/>
        </w:rPr>
        <w:t>安排资金67.8亿元，支持开展全员核酸检测、隔离转运，方舱医院医疗设备购置，兑现落实一线人员补助等工作，保障我省打赢疫情防控阻击战。</w:t>
      </w:r>
      <w:r>
        <w:rPr>
          <w:rFonts w:eastAsia="仿宋_GB2312"/>
          <w:b/>
          <w:sz w:val="36"/>
          <w:szCs w:val="36"/>
        </w:rPr>
        <w:t>积极稳就业保就业。</w:t>
      </w:r>
      <w:r>
        <w:rPr>
          <w:rFonts w:eastAsia="仿宋_GB2312"/>
          <w:sz w:val="36"/>
          <w:szCs w:val="36"/>
        </w:rPr>
        <w:t>拨付资金26.1亿元，支持社会保险等补贴政策落实，推动高校毕业生、农民工等重点群体就业创业。</w:t>
      </w:r>
      <w:r>
        <w:rPr>
          <w:rFonts w:eastAsia="仿宋_GB2312"/>
          <w:b/>
          <w:sz w:val="36"/>
          <w:szCs w:val="36"/>
        </w:rPr>
        <w:t>着力推动社会事业发展。</w:t>
      </w:r>
      <w:r>
        <w:rPr>
          <w:rFonts w:eastAsia="仿宋_GB2312"/>
          <w:sz w:val="36"/>
          <w:szCs w:val="36"/>
        </w:rPr>
        <w:t>拨付资金132.9亿元，支持改善义务教育薄弱环节、市县普通高中学校扩容改造、助推高职院校“双高”、中职学校“双优”和本科高校新一轮“双一流”建设以及全省公共文化服务体系建设等，促进教育文化事业发展。拨付66.3亿元，支持公立医院改革、医疗卫生机构能力提升和中医药事业发展，将基本公共卫生服务人均经费补助标准提高到84元，推动实施公共卫生和重大疫情防控救治领域项目103个，医疗卫生服务水平不断提升。拨付39.8亿元，支持改造城镇老旧小区1705个、3181万平方米，惠及居民41万户，有序推进城市更新。</w:t>
      </w:r>
      <w:r>
        <w:rPr>
          <w:rFonts w:eastAsia="仿宋_GB2312"/>
          <w:b/>
          <w:sz w:val="36"/>
          <w:szCs w:val="36"/>
        </w:rPr>
        <w:t>全面落实社会保障政策。</w:t>
      </w:r>
      <w:r>
        <w:rPr>
          <w:rFonts w:eastAsia="仿宋_GB2312"/>
          <w:sz w:val="36"/>
          <w:szCs w:val="36"/>
        </w:rPr>
        <w:t>将企业、机关事业单位退休人员月人均养老金水平分别提高114元和148元，并按时足额发放。拨付90.9亿元，</w:t>
      </w:r>
      <w:r>
        <w:rPr>
          <w:rFonts w:eastAsia="仿宋_GB2312"/>
          <w:color w:val="000000"/>
          <w:sz w:val="36"/>
          <w:szCs w:val="36"/>
        </w:rPr>
        <w:t>支持落实城乡居民基本医疗保险财政补助政策，并将年人均补助标准由580元提高到610元。</w:t>
      </w:r>
      <w:r>
        <w:rPr>
          <w:rFonts w:eastAsia="仿宋_GB2312"/>
          <w:sz w:val="36"/>
          <w:szCs w:val="36"/>
        </w:rPr>
        <w:t>拨付58.9亿元，支持各地及时发放低保金、特困供养金等补助救助，切实兜牢困难群众基本生活底线。</w:t>
      </w:r>
      <w:r>
        <w:rPr>
          <w:rFonts w:eastAsia="仿宋_GB2312"/>
          <w:color w:val="000000"/>
          <w:sz w:val="36"/>
          <w:szCs w:val="36"/>
        </w:rPr>
        <w:t>拨付44.4亿元，支持城乡医疗救助政策和</w:t>
      </w:r>
      <w:r>
        <w:rPr>
          <w:rFonts w:eastAsia="仿宋_GB2312"/>
          <w:sz w:val="36"/>
          <w:szCs w:val="36"/>
        </w:rPr>
        <w:t>各类优抚优待及安置等政策全面落实。</w:t>
      </w:r>
      <w:r>
        <w:rPr>
          <w:rFonts w:eastAsia="仿宋_GB2312"/>
          <w:b/>
          <w:sz w:val="36"/>
          <w:szCs w:val="36"/>
        </w:rPr>
        <w:t>支持保护生态环境</w:t>
      </w:r>
      <w:r>
        <w:rPr>
          <w:rFonts w:eastAsia="仿宋_GB2312"/>
          <w:sz w:val="36"/>
          <w:szCs w:val="36"/>
        </w:rPr>
        <w:t>。拨付资金194.1亿元，支持中央环保督察问题整改，推动水、大气和土壤污染防治，促进森林、草原、湿地生态保护和修复。</w:t>
      </w:r>
      <w:r>
        <w:rPr>
          <w:rFonts w:eastAsia="仿宋_GB2312"/>
          <w:b/>
          <w:sz w:val="36"/>
          <w:szCs w:val="36"/>
        </w:rPr>
        <w:t>全力保障平安黑龙江建设。</w:t>
      </w:r>
      <w:r>
        <w:rPr>
          <w:rFonts w:eastAsia="仿宋_GB2312"/>
          <w:sz w:val="36"/>
          <w:szCs w:val="36"/>
        </w:rPr>
        <w:t>拨付资金49.9亿元，支持政法领域改革和平安黑龙江建设，不断提升人民群众安全感和满意度。</w:t>
      </w:r>
    </w:p>
    <w:p>
      <w:pPr>
        <w:spacing w:line="600" w:lineRule="exact"/>
        <w:ind w:firstLine="720" w:firstLineChars="200"/>
        <w:rPr>
          <w:rFonts w:eastAsia="仿宋_GB2312"/>
          <w:sz w:val="36"/>
          <w:szCs w:val="36"/>
        </w:rPr>
      </w:pPr>
      <w:r>
        <w:rPr>
          <w:rFonts w:eastAsia="楷体_GB2312"/>
          <w:sz w:val="36"/>
          <w:szCs w:val="36"/>
        </w:rPr>
        <w:t>（五）</w:t>
      </w:r>
      <w:r>
        <w:rPr>
          <w:rFonts w:eastAsia="楷体_GB2312"/>
          <w:color w:val="000000"/>
          <w:sz w:val="36"/>
          <w:szCs w:val="36"/>
        </w:rPr>
        <w:t>全力提升治理效能。</w:t>
      </w:r>
      <w:r>
        <w:rPr>
          <w:rFonts w:eastAsia="仿宋_GB2312"/>
          <w:b/>
          <w:sz w:val="36"/>
          <w:szCs w:val="36"/>
        </w:rPr>
        <w:t>推进预算管理一体化建设。</w:t>
      </w:r>
      <w:r>
        <w:rPr>
          <w:rFonts w:eastAsia="仿宋_GB2312"/>
          <w:color w:val="000000"/>
          <w:sz w:val="36"/>
          <w:szCs w:val="36"/>
        </w:rPr>
        <w:t>全省预算管理一体化系统正式上线运行，覆盖全省13个市（地）、136个县（区）和20073家预算单位，初步构建起现代信息技术条件下“制度+技术”的预算管理机制。启动惠民惠农财政补贴资金“一卡通”发放试运行，完成部分普通高中国家助学金、农村危房改造补助资金和全省城乡低保资金“一卡通”发放工作。</w:t>
      </w:r>
      <w:r>
        <w:rPr>
          <w:rFonts w:eastAsia="仿宋_GB2312"/>
          <w:b/>
          <w:color w:val="000000"/>
          <w:sz w:val="36"/>
          <w:szCs w:val="36"/>
        </w:rPr>
        <w:t>深化预算绩效管理。</w:t>
      </w:r>
      <w:r>
        <w:rPr>
          <w:rFonts w:eastAsia="仿宋_GB2312"/>
          <w:color w:val="000000"/>
          <w:sz w:val="36"/>
          <w:szCs w:val="36"/>
        </w:rPr>
        <w:t>省级部门自评价实现256个部门全覆盖，省直部门评价范围持续扩大，评价规模占比由以往的20%提高至30%。组织对省本级重点专项和新增地方政府债券项目开展财政评价，资金规模大幅提高。建立预算安排与绩效评价结果挂钩机制，省本级年初预算压减低效无效项目资金53项48.6亿元。将绩效评价结果作为完善政策、安排预算、改进管理的重要依据。</w:t>
      </w:r>
      <w:r>
        <w:rPr>
          <w:rFonts w:eastAsia="仿宋_GB2312"/>
          <w:b/>
          <w:color w:val="000000"/>
          <w:sz w:val="36"/>
          <w:szCs w:val="36"/>
        </w:rPr>
        <w:t>开展财经秩序整顿。</w:t>
      </w:r>
      <w:r>
        <w:rPr>
          <w:rFonts w:eastAsia="仿宋_GB2312"/>
          <w:color w:val="000000"/>
          <w:sz w:val="36"/>
          <w:szCs w:val="36"/>
        </w:rPr>
        <w:t>按国家统一部署，在全省范围内开展财经秩序专项整治行动，围绕落实减税降费政策、政府过紧日子、加强基层“三保”保障等重点任务</w:t>
      </w:r>
      <w:r>
        <w:rPr>
          <w:sz w:val="36"/>
          <w:szCs w:val="36"/>
        </w:rPr>
        <w:t>，</w:t>
      </w:r>
      <w:r>
        <w:rPr>
          <w:rFonts w:eastAsia="仿宋_GB2312"/>
          <w:color w:val="000000"/>
          <w:sz w:val="36"/>
          <w:szCs w:val="36"/>
        </w:rPr>
        <w:t>进一步严肃财经纪律、整饬财经秩序。</w:t>
      </w:r>
    </w:p>
    <w:p>
      <w:pPr>
        <w:spacing w:line="600" w:lineRule="exact"/>
        <w:ind w:firstLine="720" w:firstLineChars="200"/>
        <w:rPr>
          <w:sz w:val="36"/>
          <w:szCs w:val="36"/>
        </w:rPr>
      </w:pPr>
      <w:r>
        <w:rPr>
          <w:rFonts w:eastAsia="楷体_GB2312"/>
          <w:color w:val="000000"/>
          <w:sz w:val="36"/>
          <w:szCs w:val="36"/>
        </w:rPr>
        <w:t>（六）有效防控财政运行风险。</w:t>
      </w:r>
      <w:r>
        <w:rPr>
          <w:rFonts w:eastAsia="仿宋_GB2312"/>
          <w:b/>
          <w:color w:val="000000"/>
          <w:sz w:val="36"/>
          <w:szCs w:val="36"/>
        </w:rPr>
        <w:t>防控政府性债务风险。</w:t>
      </w:r>
      <w:r>
        <w:rPr>
          <w:rFonts w:eastAsia="仿宋_GB2312"/>
          <w:color w:val="000000"/>
          <w:sz w:val="36"/>
          <w:szCs w:val="36"/>
        </w:rPr>
        <w:t>组织开展三轮隐性债务再排查，制定全省降低债务率工作实施方案，督导市县稳妥化解存量隐性债务。充分利用政策工具缓释风险，采取发行再融资债券，展期重组政府隐性债务，投放政府债务风险化解周转金等方式，守住不发生系统性风险底线。</w:t>
      </w:r>
      <w:r>
        <w:rPr>
          <w:rFonts w:eastAsia="仿宋_GB2312"/>
          <w:b/>
          <w:color w:val="000000"/>
          <w:sz w:val="36"/>
          <w:szCs w:val="36"/>
        </w:rPr>
        <w:t>兜牢基层“三保”底线。</w:t>
      </w:r>
      <w:r>
        <w:rPr>
          <w:rFonts w:eastAsia="仿宋_GB2312"/>
          <w:color w:val="000000"/>
          <w:sz w:val="36"/>
          <w:szCs w:val="36"/>
        </w:rPr>
        <w:t>加强市县年初预算审核，严格“三保”等刚性支出优先顺序，按月监测市县预算执行和库款保障情况，制定财政运行风险化解方案和应急处置方案。统筹中央新增补助，强化财力下沉，预算执行中下达市县财力性补助增量资金196.9亿元，有力支持市县落实减税降费政策、兜牢“三保”底线。</w:t>
      </w:r>
    </w:p>
    <w:p>
      <w:pPr>
        <w:adjustRightInd w:val="0"/>
        <w:snapToGrid w:val="0"/>
        <w:spacing w:line="600" w:lineRule="exact"/>
        <w:ind w:firstLine="720" w:firstLineChars="200"/>
        <w:rPr>
          <w:rFonts w:eastAsia="黑体"/>
          <w:sz w:val="36"/>
          <w:szCs w:val="36"/>
        </w:rPr>
      </w:pPr>
      <w:r>
        <w:rPr>
          <w:rFonts w:eastAsia="黑体"/>
          <w:sz w:val="36"/>
          <w:szCs w:val="36"/>
        </w:rPr>
        <w:t>三、全年财政收支形势研判及下半年工作重点</w:t>
      </w:r>
    </w:p>
    <w:p>
      <w:pPr>
        <w:autoSpaceDE w:val="0"/>
        <w:autoSpaceDN w:val="0"/>
        <w:adjustRightInd w:val="0"/>
        <w:spacing w:line="600" w:lineRule="exact"/>
        <w:ind w:firstLine="720" w:firstLineChars="200"/>
        <w:rPr>
          <w:rFonts w:eastAsia="仿宋_GB2312"/>
          <w:color w:val="000000"/>
          <w:sz w:val="36"/>
          <w:szCs w:val="36"/>
        </w:rPr>
      </w:pPr>
      <w:r>
        <w:rPr>
          <w:rFonts w:eastAsia="仿宋_GB2312"/>
          <w:color w:val="000000"/>
          <w:sz w:val="36"/>
          <w:szCs w:val="36"/>
          <w:lang w:val="zh-CN"/>
        </w:rPr>
        <w:t>展望全年，随着我省稳经济一揽子政策措施落地见效，高效统筹疫情防控和经济社会发展成效持续显现，预计全省经济稳中有进，全年一般公共预算收入可比口径预计增长6.5%左右。</w:t>
      </w:r>
      <w:r>
        <w:rPr>
          <w:rFonts w:eastAsia="仿宋_GB2312"/>
          <w:sz w:val="36"/>
          <w:szCs w:val="36"/>
        </w:rPr>
        <w:t>同时，保障基层“三保”、常态化疫情防控以及落实国务院稳经济大盘33项一揽子政策措施和我省出台的50条配套政策，财政刚性支出需求增加，财政收支矛盾突出。</w:t>
      </w:r>
    </w:p>
    <w:p>
      <w:pPr>
        <w:autoSpaceDE w:val="0"/>
        <w:adjustRightInd w:val="0"/>
        <w:snapToGrid w:val="0"/>
        <w:spacing w:line="600" w:lineRule="exact"/>
        <w:ind w:firstLine="720" w:firstLineChars="200"/>
        <w:rPr>
          <w:rFonts w:eastAsia="仿宋_GB2312"/>
          <w:spacing w:val="-5"/>
          <w:sz w:val="36"/>
          <w:szCs w:val="36"/>
        </w:rPr>
      </w:pPr>
      <w:r>
        <w:rPr>
          <w:rFonts w:eastAsia="仿宋_GB2312"/>
          <w:sz w:val="36"/>
          <w:szCs w:val="36"/>
        </w:rPr>
        <w:t>下一步，我们将紧紧围绕省委决策部署，锚定省第十三次党代会确定的目标任务，优化财政支出结构，加强财政资金统筹，向建设“六个龙江”、推进“八个振兴”聚焦发力，自觉接受省人大及其常委会的监督，继续推进省人大批复的政府工作报告和财政预算报告的全面落实，确保完成全年各项任务。</w:t>
      </w:r>
      <w:r>
        <w:rPr>
          <w:rFonts w:eastAsia="仿宋_GB2312"/>
          <w:b/>
          <w:color w:val="000000"/>
          <w:sz w:val="36"/>
          <w:szCs w:val="36"/>
        </w:rPr>
        <w:t>一是</w:t>
      </w:r>
      <w:r>
        <w:rPr>
          <w:rFonts w:eastAsia="仿宋_GB2312"/>
          <w:b/>
          <w:bCs/>
          <w:sz w:val="36"/>
          <w:szCs w:val="36"/>
        </w:rPr>
        <w:t>抓好稳经济大盘财税政策落实。</w:t>
      </w:r>
      <w:r>
        <w:rPr>
          <w:rFonts w:eastAsia="仿宋_GB2312"/>
          <w:spacing w:val="-5"/>
          <w:sz w:val="36"/>
          <w:szCs w:val="36"/>
        </w:rPr>
        <w:t>把稳增长放在更加突出位置，全力落实国家和我省稳经济大盘财税政策措施，落实好减税降费、中小企业稳企稳岗基金担保贷款风险补偿等各项助企纾困政策。督促各地各部门加快预算和债券资金分解下达和拨付使用，</w:t>
      </w:r>
      <w:r>
        <w:rPr>
          <w:rFonts w:eastAsia="仿宋_GB2312"/>
          <w:color w:val="000000"/>
          <w:kern w:val="0"/>
          <w:sz w:val="36"/>
          <w:szCs w:val="36"/>
        </w:rPr>
        <w:t>抢抓我省工程施工“黄金期”，</w:t>
      </w:r>
      <w:r>
        <w:rPr>
          <w:rFonts w:eastAsia="仿宋_GB2312"/>
          <w:spacing w:val="-5"/>
          <w:sz w:val="36"/>
          <w:szCs w:val="36"/>
        </w:rPr>
        <w:t>全力筹集资金支持省级重点项目建设，以财政支出提速增效助力稳住经济大盘。</w:t>
      </w:r>
      <w:r>
        <w:rPr>
          <w:rFonts w:eastAsia="仿宋_GB2312"/>
          <w:b/>
          <w:color w:val="000000"/>
          <w:sz w:val="36"/>
          <w:szCs w:val="36"/>
        </w:rPr>
        <w:t>二是依法依规组织收入。</w:t>
      </w:r>
      <w:r>
        <w:rPr>
          <w:rFonts w:eastAsia="仿宋_GB2312"/>
          <w:color w:val="000000"/>
          <w:sz w:val="36"/>
          <w:szCs w:val="36"/>
        </w:rPr>
        <w:t>在不折不扣落实组合式税费支持政策基础上，按照“以旬保月、以月保季、以季保年”的工作要求，</w:t>
      </w:r>
      <w:r>
        <w:rPr>
          <w:rFonts w:eastAsia="仿宋_GB2312"/>
          <w:sz w:val="36"/>
          <w:szCs w:val="36"/>
        </w:rPr>
        <w:t>采取日统计、周调度、月分析、季总结的方式，加大监测分析力度，</w:t>
      </w:r>
      <w:r>
        <w:rPr>
          <w:rFonts w:eastAsia="仿宋_GB2312"/>
          <w:color w:val="000000"/>
          <w:sz w:val="36"/>
          <w:szCs w:val="36"/>
        </w:rPr>
        <w:t>持续做好财政收入组织工作，切实做到应收尽收、稳定收入预期</w:t>
      </w:r>
      <w:r>
        <w:rPr>
          <w:rFonts w:eastAsia="仿宋_GB2312"/>
          <w:sz w:val="36"/>
          <w:szCs w:val="36"/>
        </w:rPr>
        <w:t>。</w:t>
      </w:r>
      <w:r>
        <w:rPr>
          <w:rFonts w:eastAsia="仿宋_GB2312"/>
          <w:b/>
          <w:color w:val="000000"/>
          <w:sz w:val="36"/>
          <w:szCs w:val="36"/>
        </w:rPr>
        <w:t>三是兜牢“三保”底线。</w:t>
      </w:r>
      <w:r>
        <w:rPr>
          <w:rFonts w:eastAsia="仿宋_GB2312"/>
          <w:color w:val="000000"/>
          <w:sz w:val="36"/>
          <w:szCs w:val="36"/>
        </w:rPr>
        <w:t>坚持党政机关过紧日子，严控“三公经费”等一般性支出，加大存量资金盘活力度，千方百计腾出更多财政资金用于基层“三保”和兑现落实稳经济增长政策措施。严格落实省对市县财政运行监测机制，对预算执行中出现的特殊困难，及时提出解决措施，确保市县财政平稳运行，兜牢兜实基层“三保”底线。</w:t>
      </w:r>
      <w:r>
        <w:rPr>
          <w:rFonts w:eastAsia="仿宋_GB2312"/>
          <w:b/>
          <w:color w:val="000000"/>
          <w:sz w:val="36"/>
          <w:szCs w:val="36"/>
        </w:rPr>
        <w:t>四是防控地方政府性债务风险。</w:t>
      </w:r>
      <w:r>
        <w:rPr>
          <w:rFonts w:eastAsia="仿宋_GB2312"/>
          <w:color w:val="000000"/>
          <w:sz w:val="36"/>
          <w:szCs w:val="36"/>
        </w:rPr>
        <w:t>认</w:t>
      </w:r>
      <w:r>
        <w:rPr>
          <w:rFonts w:eastAsia="仿宋_GB2312"/>
          <w:sz w:val="36"/>
          <w:szCs w:val="36"/>
        </w:rPr>
        <w:t>真做好隐性债务再排查“回头看”工作，严格执行债务风险防控统计监测、月报预警、风险会商、应急救助和考核问责“五个机制”，指导市县防范化解债务风险，积极推动隐性债务展期重组，用好政府性债务风险化解周转金，切实守住不发生系统性风险底线。</w:t>
      </w:r>
    </w:p>
    <w:p>
      <w:pPr>
        <w:autoSpaceDE w:val="0"/>
        <w:autoSpaceDN w:val="0"/>
        <w:adjustRightInd w:val="0"/>
        <w:spacing w:line="600" w:lineRule="exact"/>
        <w:ind w:firstLine="720" w:firstLineChars="200"/>
        <w:rPr>
          <w:rFonts w:eastAsia="仿宋_GB2312"/>
          <w:sz w:val="36"/>
          <w:szCs w:val="36"/>
        </w:rPr>
      </w:pPr>
      <w:r>
        <w:rPr>
          <w:rFonts w:eastAsia="仿宋_GB2312"/>
          <w:sz w:val="36"/>
          <w:szCs w:val="36"/>
        </w:rPr>
        <w:t>以上报告，请审议。</w:t>
      </w:r>
      <w:bookmarkStart w:id="0" w:name="_GoBack"/>
      <w:bookmarkEnd w:id="0"/>
    </w:p>
    <w:sectPr>
      <w:headerReference r:id="rId3" w:type="default"/>
      <w:footerReference r:id="rId4" w:type="default"/>
      <w:pgSz w:w="11906" w:h="16838"/>
      <w:pgMar w:top="2268" w:right="1418" w:bottom="1701" w:left="1701" w:header="737" w:footer="90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长城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05"/>
  <w:drawingGridVerticalSpacing w:val="435"/>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F2203"/>
    <w:rsid w:val="0000007F"/>
    <w:rsid w:val="00000452"/>
    <w:rsid w:val="000006C6"/>
    <w:rsid w:val="00000A0F"/>
    <w:rsid w:val="00001992"/>
    <w:rsid w:val="00002FCB"/>
    <w:rsid w:val="00003559"/>
    <w:rsid w:val="00003F60"/>
    <w:rsid w:val="000047E1"/>
    <w:rsid w:val="000048E7"/>
    <w:rsid w:val="0000494A"/>
    <w:rsid w:val="0000639E"/>
    <w:rsid w:val="00006ED2"/>
    <w:rsid w:val="00010C8B"/>
    <w:rsid w:val="00012290"/>
    <w:rsid w:val="0001276D"/>
    <w:rsid w:val="00013035"/>
    <w:rsid w:val="000133C1"/>
    <w:rsid w:val="00013473"/>
    <w:rsid w:val="0001397B"/>
    <w:rsid w:val="00015AAA"/>
    <w:rsid w:val="000170B4"/>
    <w:rsid w:val="00020771"/>
    <w:rsid w:val="00020D7B"/>
    <w:rsid w:val="00021843"/>
    <w:rsid w:val="00021852"/>
    <w:rsid w:val="00021F83"/>
    <w:rsid w:val="00022E5F"/>
    <w:rsid w:val="00022FD3"/>
    <w:rsid w:val="0002367C"/>
    <w:rsid w:val="00023982"/>
    <w:rsid w:val="00023B05"/>
    <w:rsid w:val="00024168"/>
    <w:rsid w:val="000244A6"/>
    <w:rsid w:val="00024832"/>
    <w:rsid w:val="00024E6D"/>
    <w:rsid w:val="00025A1B"/>
    <w:rsid w:val="0002646C"/>
    <w:rsid w:val="0002757F"/>
    <w:rsid w:val="0003050A"/>
    <w:rsid w:val="00030A17"/>
    <w:rsid w:val="000316EE"/>
    <w:rsid w:val="00032031"/>
    <w:rsid w:val="00032D6F"/>
    <w:rsid w:val="000332EE"/>
    <w:rsid w:val="0003356F"/>
    <w:rsid w:val="00033C0F"/>
    <w:rsid w:val="000340C0"/>
    <w:rsid w:val="00034BF7"/>
    <w:rsid w:val="000355B8"/>
    <w:rsid w:val="0003562E"/>
    <w:rsid w:val="000364AA"/>
    <w:rsid w:val="000370FE"/>
    <w:rsid w:val="00037A32"/>
    <w:rsid w:val="000404D2"/>
    <w:rsid w:val="0004119E"/>
    <w:rsid w:val="00043342"/>
    <w:rsid w:val="00043426"/>
    <w:rsid w:val="0004521E"/>
    <w:rsid w:val="000457A6"/>
    <w:rsid w:val="0004609C"/>
    <w:rsid w:val="00046776"/>
    <w:rsid w:val="00046AA2"/>
    <w:rsid w:val="00046FAD"/>
    <w:rsid w:val="0005181B"/>
    <w:rsid w:val="000519CD"/>
    <w:rsid w:val="00052172"/>
    <w:rsid w:val="00052494"/>
    <w:rsid w:val="00052627"/>
    <w:rsid w:val="00053292"/>
    <w:rsid w:val="00053A17"/>
    <w:rsid w:val="000549E5"/>
    <w:rsid w:val="00054D1D"/>
    <w:rsid w:val="000561FC"/>
    <w:rsid w:val="000562DF"/>
    <w:rsid w:val="00057744"/>
    <w:rsid w:val="000577F5"/>
    <w:rsid w:val="00060055"/>
    <w:rsid w:val="00060AF4"/>
    <w:rsid w:val="00060E96"/>
    <w:rsid w:val="000611AB"/>
    <w:rsid w:val="000631CC"/>
    <w:rsid w:val="000637F0"/>
    <w:rsid w:val="00064A10"/>
    <w:rsid w:val="00064AB3"/>
    <w:rsid w:val="0006524E"/>
    <w:rsid w:val="00066D7D"/>
    <w:rsid w:val="0006716D"/>
    <w:rsid w:val="00070595"/>
    <w:rsid w:val="00070C0C"/>
    <w:rsid w:val="00074642"/>
    <w:rsid w:val="00076AC4"/>
    <w:rsid w:val="00076DA6"/>
    <w:rsid w:val="00076F1D"/>
    <w:rsid w:val="000772A2"/>
    <w:rsid w:val="000772C7"/>
    <w:rsid w:val="00077DB8"/>
    <w:rsid w:val="000800B0"/>
    <w:rsid w:val="000804E3"/>
    <w:rsid w:val="00081132"/>
    <w:rsid w:val="00081E0C"/>
    <w:rsid w:val="00082054"/>
    <w:rsid w:val="0008220D"/>
    <w:rsid w:val="0008355D"/>
    <w:rsid w:val="000835A5"/>
    <w:rsid w:val="00083973"/>
    <w:rsid w:val="00083D8E"/>
    <w:rsid w:val="00084121"/>
    <w:rsid w:val="000847FA"/>
    <w:rsid w:val="00085064"/>
    <w:rsid w:val="0008518F"/>
    <w:rsid w:val="00085650"/>
    <w:rsid w:val="00085B14"/>
    <w:rsid w:val="000863F9"/>
    <w:rsid w:val="0008676A"/>
    <w:rsid w:val="00086B28"/>
    <w:rsid w:val="00087152"/>
    <w:rsid w:val="00087B16"/>
    <w:rsid w:val="0009030D"/>
    <w:rsid w:val="00091183"/>
    <w:rsid w:val="000919E9"/>
    <w:rsid w:val="000928A4"/>
    <w:rsid w:val="000929DB"/>
    <w:rsid w:val="0009352A"/>
    <w:rsid w:val="00093BB8"/>
    <w:rsid w:val="00095AD2"/>
    <w:rsid w:val="000969C0"/>
    <w:rsid w:val="00096E36"/>
    <w:rsid w:val="0009773B"/>
    <w:rsid w:val="000977BC"/>
    <w:rsid w:val="000978DC"/>
    <w:rsid w:val="00097AAF"/>
    <w:rsid w:val="000A071B"/>
    <w:rsid w:val="000A0B11"/>
    <w:rsid w:val="000A13BB"/>
    <w:rsid w:val="000A1F67"/>
    <w:rsid w:val="000A24E4"/>
    <w:rsid w:val="000A26E6"/>
    <w:rsid w:val="000A27B3"/>
    <w:rsid w:val="000A4A89"/>
    <w:rsid w:val="000A5284"/>
    <w:rsid w:val="000A5831"/>
    <w:rsid w:val="000A591A"/>
    <w:rsid w:val="000A61C7"/>
    <w:rsid w:val="000A7650"/>
    <w:rsid w:val="000A79C0"/>
    <w:rsid w:val="000A7AB7"/>
    <w:rsid w:val="000B1503"/>
    <w:rsid w:val="000B2202"/>
    <w:rsid w:val="000B2652"/>
    <w:rsid w:val="000B3298"/>
    <w:rsid w:val="000B3561"/>
    <w:rsid w:val="000B498A"/>
    <w:rsid w:val="000B55D1"/>
    <w:rsid w:val="000B5612"/>
    <w:rsid w:val="000B5F34"/>
    <w:rsid w:val="000B60E3"/>
    <w:rsid w:val="000B6984"/>
    <w:rsid w:val="000B7098"/>
    <w:rsid w:val="000B7549"/>
    <w:rsid w:val="000B7974"/>
    <w:rsid w:val="000C039F"/>
    <w:rsid w:val="000C05E3"/>
    <w:rsid w:val="000C0982"/>
    <w:rsid w:val="000C0AFD"/>
    <w:rsid w:val="000C168C"/>
    <w:rsid w:val="000C191A"/>
    <w:rsid w:val="000C1D80"/>
    <w:rsid w:val="000C2244"/>
    <w:rsid w:val="000C28A7"/>
    <w:rsid w:val="000C4B9F"/>
    <w:rsid w:val="000C56BD"/>
    <w:rsid w:val="000C6461"/>
    <w:rsid w:val="000C6469"/>
    <w:rsid w:val="000C663F"/>
    <w:rsid w:val="000C6AC3"/>
    <w:rsid w:val="000C6B57"/>
    <w:rsid w:val="000C71CD"/>
    <w:rsid w:val="000C740E"/>
    <w:rsid w:val="000C756B"/>
    <w:rsid w:val="000C7695"/>
    <w:rsid w:val="000C7A95"/>
    <w:rsid w:val="000C7C0B"/>
    <w:rsid w:val="000C7F3F"/>
    <w:rsid w:val="000D0428"/>
    <w:rsid w:val="000D0686"/>
    <w:rsid w:val="000D20B0"/>
    <w:rsid w:val="000D20BB"/>
    <w:rsid w:val="000D22A9"/>
    <w:rsid w:val="000D23F5"/>
    <w:rsid w:val="000D285C"/>
    <w:rsid w:val="000D2D2B"/>
    <w:rsid w:val="000D3517"/>
    <w:rsid w:val="000D3F45"/>
    <w:rsid w:val="000D4B49"/>
    <w:rsid w:val="000D616B"/>
    <w:rsid w:val="000D75B4"/>
    <w:rsid w:val="000D7795"/>
    <w:rsid w:val="000E02C1"/>
    <w:rsid w:val="000E02C6"/>
    <w:rsid w:val="000E0B37"/>
    <w:rsid w:val="000E0B4C"/>
    <w:rsid w:val="000E0E5A"/>
    <w:rsid w:val="000E2C25"/>
    <w:rsid w:val="000E2ED8"/>
    <w:rsid w:val="000E31FC"/>
    <w:rsid w:val="000E4563"/>
    <w:rsid w:val="000E5EE1"/>
    <w:rsid w:val="000E66FE"/>
    <w:rsid w:val="000E6DED"/>
    <w:rsid w:val="000F226B"/>
    <w:rsid w:val="000F2451"/>
    <w:rsid w:val="000F487F"/>
    <w:rsid w:val="000F69D6"/>
    <w:rsid w:val="000F7B5B"/>
    <w:rsid w:val="001019BD"/>
    <w:rsid w:val="00103F73"/>
    <w:rsid w:val="00104394"/>
    <w:rsid w:val="00104964"/>
    <w:rsid w:val="00104D3B"/>
    <w:rsid w:val="00104FB4"/>
    <w:rsid w:val="0010632D"/>
    <w:rsid w:val="00106AEA"/>
    <w:rsid w:val="0010716F"/>
    <w:rsid w:val="0010754D"/>
    <w:rsid w:val="001101AA"/>
    <w:rsid w:val="0011027E"/>
    <w:rsid w:val="0011064E"/>
    <w:rsid w:val="00111235"/>
    <w:rsid w:val="00114230"/>
    <w:rsid w:val="00116A3D"/>
    <w:rsid w:val="00117025"/>
    <w:rsid w:val="00117043"/>
    <w:rsid w:val="001179B6"/>
    <w:rsid w:val="001202F8"/>
    <w:rsid w:val="001207D9"/>
    <w:rsid w:val="00120E63"/>
    <w:rsid w:val="00121137"/>
    <w:rsid w:val="00121311"/>
    <w:rsid w:val="001215F1"/>
    <w:rsid w:val="001218E4"/>
    <w:rsid w:val="00121AC3"/>
    <w:rsid w:val="00122776"/>
    <w:rsid w:val="00123585"/>
    <w:rsid w:val="001236DF"/>
    <w:rsid w:val="00123FC6"/>
    <w:rsid w:val="00125C49"/>
    <w:rsid w:val="0012627B"/>
    <w:rsid w:val="00126526"/>
    <w:rsid w:val="00130404"/>
    <w:rsid w:val="00130487"/>
    <w:rsid w:val="00130A2E"/>
    <w:rsid w:val="00131540"/>
    <w:rsid w:val="001319F4"/>
    <w:rsid w:val="001331D7"/>
    <w:rsid w:val="00133858"/>
    <w:rsid w:val="00133A9E"/>
    <w:rsid w:val="001351ED"/>
    <w:rsid w:val="00135B8C"/>
    <w:rsid w:val="00136BE5"/>
    <w:rsid w:val="00136EA1"/>
    <w:rsid w:val="0013750B"/>
    <w:rsid w:val="0013766E"/>
    <w:rsid w:val="001401B3"/>
    <w:rsid w:val="001411EA"/>
    <w:rsid w:val="001412EB"/>
    <w:rsid w:val="001414B7"/>
    <w:rsid w:val="00141901"/>
    <w:rsid w:val="00141F87"/>
    <w:rsid w:val="00142F2B"/>
    <w:rsid w:val="00143210"/>
    <w:rsid w:val="0014380F"/>
    <w:rsid w:val="001440D6"/>
    <w:rsid w:val="001443CF"/>
    <w:rsid w:val="00144BBF"/>
    <w:rsid w:val="00145077"/>
    <w:rsid w:val="0014541C"/>
    <w:rsid w:val="001457D1"/>
    <w:rsid w:val="001460F9"/>
    <w:rsid w:val="001466B5"/>
    <w:rsid w:val="00146B4C"/>
    <w:rsid w:val="00147448"/>
    <w:rsid w:val="00150B37"/>
    <w:rsid w:val="001512E7"/>
    <w:rsid w:val="00151350"/>
    <w:rsid w:val="00153997"/>
    <w:rsid w:val="0015412F"/>
    <w:rsid w:val="00156737"/>
    <w:rsid w:val="00156BE8"/>
    <w:rsid w:val="00157593"/>
    <w:rsid w:val="00157C26"/>
    <w:rsid w:val="00157DBE"/>
    <w:rsid w:val="001602C2"/>
    <w:rsid w:val="0016080D"/>
    <w:rsid w:val="00160C6C"/>
    <w:rsid w:val="001610CE"/>
    <w:rsid w:val="001610E8"/>
    <w:rsid w:val="00162A5A"/>
    <w:rsid w:val="001674C1"/>
    <w:rsid w:val="0017053C"/>
    <w:rsid w:val="001712F0"/>
    <w:rsid w:val="0017136A"/>
    <w:rsid w:val="00171539"/>
    <w:rsid w:val="00171839"/>
    <w:rsid w:val="00171FD4"/>
    <w:rsid w:val="00173538"/>
    <w:rsid w:val="001742CA"/>
    <w:rsid w:val="00174B68"/>
    <w:rsid w:val="00174F41"/>
    <w:rsid w:val="00174FD4"/>
    <w:rsid w:val="001756D3"/>
    <w:rsid w:val="00175BF1"/>
    <w:rsid w:val="001760E4"/>
    <w:rsid w:val="001767D5"/>
    <w:rsid w:val="00177076"/>
    <w:rsid w:val="0018093A"/>
    <w:rsid w:val="00180D09"/>
    <w:rsid w:val="00181DD1"/>
    <w:rsid w:val="00183A57"/>
    <w:rsid w:val="00184031"/>
    <w:rsid w:val="00185D58"/>
    <w:rsid w:val="00186013"/>
    <w:rsid w:val="00186141"/>
    <w:rsid w:val="0018616B"/>
    <w:rsid w:val="00187B0C"/>
    <w:rsid w:val="00190CB8"/>
    <w:rsid w:val="00191315"/>
    <w:rsid w:val="001916EE"/>
    <w:rsid w:val="00192F29"/>
    <w:rsid w:val="001957CB"/>
    <w:rsid w:val="00196F7F"/>
    <w:rsid w:val="00197352"/>
    <w:rsid w:val="00197671"/>
    <w:rsid w:val="00197C6C"/>
    <w:rsid w:val="001A05AD"/>
    <w:rsid w:val="001A0834"/>
    <w:rsid w:val="001A229E"/>
    <w:rsid w:val="001A23E3"/>
    <w:rsid w:val="001A240D"/>
    <w:rsid w:val="001A3214"/>
    <w:rsid w:val="001A3C10"/>
    <w:rsid w:val="001A3D07"/>
    <w:rsid w:val="001A6FD1"/>
    <w:rsid w:val="001B1763"/>
    <w:rsid w:val="001B1C12"/>
    <w:rsid w:val="001B1F5C"/>
    <w:rsid w:val="001B2138"/>
    <w:rsid w:val="001B34F3"/>
    <w:rsid w:val="001B364D"/>
    <w:rsid w:val="001B6920"/>
    <w:rsid w:val="001B7130"/>
    <w:rsid w:val="001B7225"/>
    <w:rsid w:val="001B7F26"/>
    <w:rsid w:val="001C036C"/>
    <w:rsid w:val="001C0AE0"/>
    <w:rsid w:val="001C0EA8"/>
    <w:rsid w:val="001C14FC"/>
    <w:rsid w:val="001C15C5"/>
    <w:rsid w:val="001C184B"/>
    <w:rsid w:val="001C20AF"/>
    <w:rsid w:val="001C2DEE"/>
    <w:rsid w:val="001C2F76"/>
    <w:rsid w:val="001C31A8"/>
    <w:rsid w:val="001C4412"/>
    <w:rsid w:val="001C4454"/>
    <w:rsid w:val="001C4461"/>
    <w:rsid w:val="001C510B"/>
    <w:rsid w:val="001C512C"/>
    <w:rsid w:val="001C5326"/>
    <w:rsid w:val="001C5E8F"/>
    <w:rsid w:val="001C69C8"/>
    <w:rsid w:val="001D00FD"/>
    <w:rsid w:val="001D109C"/>
    <w:rsid w:val="001D14C0"/>
    <w:rsid w:val="001D2625"/>
    <w:rsid w:val="001D2731"/>
    <w:rsid w:val="001D3462"/>
    <w:rsid w:val="001D3796"/>
    <w:rsid w:val="001D41C9"/>
    <w:rsid w:val="001D43EC"/>
    <w:rsid w:val="001D4B31"/>
    <w:rsid w:val="001D4D7A"/>
    <w:rsid w:val="001D6F4B"/>
    <w:rsid w:val="001D73F6"/>
    <w:rsid w:val="001D7ABC"/>
    <w:rsid w:val="001E0497"/>
    <w:rsid w:val="001E08B8"/>
    <w:rsid w:val="001E0E50"/>
    <w:rsid w:val="001E1F02"/>
    <w:rsid w:val="001E22F9"/>
    <w:rsid w:val="001E25C8"/>
    <w:rsid w:val="001E37BF"/>
    <w:rsid w:val="001E3C04"/>
    <w:rsid w:val="001E3E50"/>
    <w:rsid w:val="001E47E7"/>
    <w:rsid w:val="001E53C3"/>
    <w:rsid w:val="001E5C87"/>
    <w:rsid w:val="001E6257"/>
    <w:rsid w:val="001E639F"/>
    <w:rsid w:val="001E6D35"/>
    <w:rsid w:val="001E6E39"/>
    <w:rsid w:val="001E769D"/>
    <w:rsid w:val="001E7FB1"/>
    <w:rsid w:val="001F0273"/>
    <w:rsid w:val="001F0644"/>
    <w:rsid w:val="001F1B27"/>
    <w:rsid w:val="001F2212"/>
    <w:rsid w:val="001F28CA"/>
    <w:rsid w:val="001F41BD"/>
    <w:rsid w:val="001F4741"/>
    <w:rsid w:val="001F51B3"/>
    <w:rsid w:val="001F61AE"/>
    <w:rsid w:val="001F638A"/>
    <w:rsid w:val="002008D8"/>
    <w:rsid w:val="00201601"/>
    <w:rsid w:val="002026CF"/>
    <w:rsid w:val="00202942"/>
    <w:rsid w:val="00202AEE"/>
    <w:rsid w:val="002040B1"/>
    <w:rsid w:val="0020447D"/>
    <w:rsid w:val="00204F0B"/>
    <w:rsid w:val="002055D3"/>
    <w:rsid w:val="00205789"/>
    <w:rsid w:val="002059E0"/>
    <w:rsid w:val="00205B37"/>
    <w:rsid w:val="00205D4B"/>
    <w:rsid w:val="002063E4"/>
    <w:rsid w:val="002074BB"/>
    <w:rsid w:val="00207E84"/>
    <w:rsid w:val="0021001C"/>
    <w:rsid w:val="00210765"/>
    <w:rsid w:val="00210B39"/>
    <w:rsid w:val="00210C75"/>
    <w:rsid w:val="002117A9"/>
    <w:rsid w:val="00211E5A"/>
    <w:rsid w:val="0021233D"/>
    <w:rsid w:val="00212CF8"/>
    <w:rsid w:val="00213098"/>
    <w:rsid w:val="002130ED"/>
    <w:rsid w:val="002136E5"/>
    <w:rsid w:val="00213E0A"/>
    <w:rsid w:val="002147E6"/>
    <w:rsid w:val="00215E82"/>
    <w:rsid w:val="002166B3"/>
    <w:rsid w:val="00216D50"/>
    <w:rsid w:val="0021795F"/>
    <w:rsid w:val="00217FBF"/>
    <w:rsid w:val="0022047D"/>
    <w:rsid w:val="002205A6"/>
    <w:rsid w:val="00220610"/>
    <w:rsid w:val="0022089D"/>
    <w:rsid w:val="00220B35"/>
    <w:rsid w:val="00220C08"/>
    <w:rsid w:val="00221385"/>
    <w:rsid w:val="00222086"/>
    <w:rsid w:val="00222717"/>
    <w:rsid w:val="00224078"/>
    <w:rsid w:val="00224C1F"/>
    <w:rsid w:val="0022542B"/>
    <w:rsid w:val="002255A1"/>
    <w:rsid w:val="002256CE"/>
    <w:rsid w:val="0022658E"/>
    <w:rsid w:val="00226800"/>
    <w:rsid w:val="002275F7"/>
    <w:rsid w:val="00227805"/>
    <w:rsid w:val="00227A47"/>
    <w:rsid w:val="00230F77"/>
    <w:rsid w:val="0023161D"/>
    <w:rsid w:val="00231AF8"/>
    <w:rsid w:val="00232073"/>
    <w:rsid w:val="00233055"/>
    <w:rsid w:val="00233813"/>
    <w:rsid w:val="002342F6"/>
    <w:rsid w:val="002352ED"/>
    <w:rsid w:val="00235531"/>
    <w:rsid w:val="0023662C"/>
    <w:rsid w:val="00236943"/>
    <w:rsid w:val="00236A71"/>
    <w:rsid w:val="002371E3"/>
    <w:rsid w:val="002375AF"/>
    <w:rsid w:val="002409F6"/>
    <w:rsid w:val="00240CDC"/>
    <w:rsid w:val="0024197B"/>
    <w:rsid w:val="002428EF"/>
    <w:rsid w:val="00242DD5"/>
    <w:rsid w:val="00242F8B"/>
    <w:rsid w:val="00244541"/>
    <w:rsid w:val="0024500E"/>
    <w:rsid w:val="00247A4D"/>
    <w:rsid w:val="00250123"/>
    <w:rsid w:val="00250E33"/>
    <w:rsid w:val="00251FEE"/>
    <w:rsid w:val="00252641"/>
    <w:rsid w:val="002528B0"/>
    <w:rsid w:val="00252A4A"/>
    <w:rsid w:val="00252D19"/>
    <w:rsid w:val="00253513"/>
    <w:rsid w:val="00254434"/>
    <w:rsid w:val="00254C3B"/>
    <w:rsid w:val="00255591"/>
    <w:rsid w:val="00255F91"/>
    <w:rsid w:val="002563A0"/>
    <w:rsid w:val="00256CA7"/>
    <w:rsid w:val="00257748"/>
    <w:rsid w:val="00257D32"/>
    <w:rsid w:val="00261D98"/>
    <w:rsid w:val="002625C6"/>
    <w:rsid w:val="00262A69"/>
    <w:rsid w:val="00264116"/>
    <w:rsid w:val="002645EF"/>
    <w:rsid w:val="00265135"/>
    <w:rsid w:val="00265587"/>
    <w:rsid w:val="00265FA2"/>
    <w:rsid w:val="00266A04"/>
    <w:rsid w:val="00267824"/>
    <w:rsid w:val="00267876"/>
    <w:rsid w:val="002678D6"/>
    <w:rsid w:val="00270075"/>
    <w:rsid w:val="002701B6"/>
    <w:rsid w:val="00270CCF"/>
    <w:rsid w:val="0027124F"/>
    <w:rsid w:val="00271EBB"/>
    <w:rsid w:val="00271F34"/>
    <w:rsid w:val="00272A90"/>
    <w:rsid w:val="002738E4"/>
    <w:rsid w:val="00273F97"/>
    <w:rsid w:val="002741C0"/>
    <w:rsid w:val="002745A1"/>
    <w:rsid w:val="002746E8"/>
    <w:rsid w:val="00274757"/>
    <w:rsid w:val="00274B76"/>
    <w:rsid w:val="00275743"/>
    <w:rsid w:val="002765BE"/>
    <w:rsid w:val="00276784"/>
    <w:rsid w:val="002771AA"/>
    <w:rsid w:val="00277C20"/>
    <w:rsid w:val="00277E57"/>
    <w:rsid w:val="002813FE"/>
    <w:rsid w:val="00281431"/>
    <w:rsid w:val="002822F3"/>
    <w:rsid w:val="00282FF2"/>
    <w:rsid w:val="00283ECC"/>
    <w:rsid w:val="002846D5"/>
    <w:rsid w:val="00284F7B"/>
    <w:rsid w:val="00285456"/>
    <w:rsid w:val="002862B1"/>
    <w:rsid w:val="00287307"/>
    <w:rsid w:val="00287C61"/>
    <w:rsid w:val="00287DE7"/>
    <w:rsid w:val="00291A2E"/>
    <w:rsid w:val="0029263A"/>
    <w:rsid w:val="0029445B"/>
    <w:rsid w:val="00295669"/>
    <w:rsid w:val="002975BA"/>
    <w:rsid w:val="00297BA7"/>
    <w:rsid w:val="002A1630"/>
    <w:rsid w:val="002A1AFA"/>
    <w:rsid w:val="002A2249"/>
    <w:rsid w:val="002A295E"/>
    <w:rsid w:val="002A2B59"/>
    <w:rsid w:val="002A2BD3"/>
    <w:rsid w:val="002A3946"/>
    <w:rsid w:val="002A5F4F"/>
    <w:rsid w:val="002A6872"/>
    <w:rsid w:val="002A6B49"/>
    <w:rsid w:val="002A6E92"/>
    <w:rsid w:val="002A752C"/>
    <w:rsid w:val="002A7670"/>
    <w:rsid w:val="002A78F2"/>
    <w:rsid w:val="002B0876"/>
    <w:rsid w:val="002B09B6"/>
    <w:rsid w:val="002B0E5D"/>
    <w:rsid w:val="002B123B"/>
    <w:rsid w:val="002B1E84"/>
    <w:rsid w:val="002B1F90"/>
    <w:rsid w:val="002B43A9"/>
    <w:rsid w:val="002B487E"/>
    <w:rsid w:val="002B5CDD"/>
    <w:rsid w:val="002B61E4"/>
    <w:rsid w:val="002B780B"/>
    <w:rsid w:val="002C051A"/>
    <w:rsid w:val="002C0FEA"/>
    <w:rsid w:val="002C10E6"/>
    <w:rsid w:val="002C1458"/>
    <w:rsid w:val="002C1CDA"/>
    <w:rsid w:val="002C2229"/>
    <w:rsid w:val="002C22C9"/>
    <w:rsid w:val="002C268F"/>
    <w:rsid w:val="002C28D7"/>
    <w:rsid w:val="002C2A21"/>
    <w:rsid w:val="002C31E8"/>
    <w:rsid w:val="002C4B37"/>
    <w:rsid w:val="002D173C"/>
    <w:rsid w:val="002D24FA"/>
    <w:rsid w:val="002D2533"/>
    <w:rsid w:val="002D4120"/>
    <w:rsid w:val="002D4A00"/>
    <w:rsid w:val="002D4FC4"/>
    <w:rsid w:val="002D55AE"/>
    <w:rsid w:val="002D7AE6"/>
    <w:rsid w:val="002E1950"/>
    <w:rsid w:val="002E1BCA"/>
    <w:rsid w:val="002E26FD"/>
    <w:rsid w:val="002E3688"/>
    <w:rsid w:val="002E40D6"/>
    <w:rsid w:val="002E455B"/>
    <w:rsid w:val="002E5BB3"/>
    <w:rsid w:val="002E7173"/>
    <w:rsid w:val="002E7C31"/>
    <w:rsid w:val="002E7D12"/>
    <w:rsid w:val="002F003B"/>
    <w:rsid w:val="002F00ED"/>
    <w:rsid w:val="002F046A"/>
    <w:rsid w:val="002F1562"/>
    <w:rsid w:val="002F1643"/>
    <w:rsid w:val="002F176F"/>
    <w:rsid w:val="002F2203"/>
    <w:rsid w:val="002F2226"/>
    <w:rsid w:val="002F3172"/>
    <w:rsid w:val="002F39C8"/>
    <w:rsid w:val="002F4DA8"/>
    <w:rsid w:val="002F4F89"/>
    <w:rsid w:val="002F5255"/>
    <w:rsid w:val="002F68D5"/>
    <w:rsid w:val="002F6DA3"/>
    <w:rsid w:val="002F73B7"/>
    <w:rsid w:val="00300139"/>
    <w:rsid w:val="003003BA"/>
    <w:rsid w:val="00300695"/>
    <w:rsid w:val="003009C7"/>
    <w:rsid w:val="003011BA"/>
    <w:rsid w:val="0030182E"/>
    <w:rsid w:val="00301F3D"/>
    <w:rsid w:val="003027C8"/>
    <w:rsid w:val="00302AD3"/>
    <w:rsid w:val="0030307A"/>
    <w:rsid w:val="003031E8"/>
    <w:rsid w:val="00306043"/>
    <w:rsid w:val="003106E7"/>
    <w:rsid w:val="0031214F"/>
    <w:rsid w:val="003121D8"/>
    <w:rsid w:val="003126D9"/>
    <w:rsid w:val="003133D8"/>
    <w:rsid w:val="00313596"/>
    <w:rsid w:val="00313E03"/>
    <w:rsid w:val="003145D4"/>
    <w:rsid w:val="00314D8E"/>
    <w:rsid w:val="0031648B"/>
    <w:rsid w:val="003164A3"/>
    <w:rsid w:val="0031673E"/>
    <w:rsid w:val="00316A85"/>
    <w:rsid w:val="00316CC5"/>
    <w:rsid w:val="00316EAE"/>
    <w:rsid w:val="0032005F"/>
    <w:rsid w:val="00320459"/>
    <w:rsid w:val="00320BE9"/>
    <w:rsid w:val="00320BF7"/>
    <w:rsid w:val="00321343"/>
    <w:rsid w:val="003232D9"/>
    <w:rsid w:val="003234B6"/>
    <w:rsid w:val="00323C12"/>
    <w:rsid w:val="00323FDE"/>
    <w:rsid w:val="00324140"/>
    <w:rsid w:val="0032437F"/>
    <w:rsid w:val="00327074"/>
    <w:rsid w:val="00327108"/>
    <w:rsid w:val="00327557"/>
    <w:rsid w:val="003305FE"/>
    <w:rsid w:val="0033066E"/>
    <w:rsid w:val="00331193"/>
    <w:rsid w:val="00333B1C"/>
    <w:rsid w:val="00333FCF"/>
    <w:rsid w:val="00334203"/>
    <w:rsid w:val="00334510"/>
    <w:rsid w:val="003346A8"/>
    <w:rsid w:val="003365A1"/>
    <w:rsid w:val="00336BEE"/>
    <w:rsid w:val="00336C3E"/>
    <w:rsid w:val="0033708D"/>
    <w:rsid w:val="003373FE"/>
    <w:rsid w:val="00337406"/>
    <w:rsid w:val="00337A3F"/>
    <w:rsid w:val="00337AC3"/>
    <w:rsid w:val="00337E63"/>
    <w:rsid w:val="00340924"/>
    <w:rsid w:val="003409D9"/>
    <w:rsid w:val="00340B45"/>
    <w:rsid w:val="00340CA2"/>
    <w:rsid w:val="0034125F"/>
    <w:rsid w:val="00341530"/>
    <w:rsid w:val="00341D96"/>
    <w:rsid w:val="00341FE4"/>
    <w:rsid w:val="00342D96"/>
    <w:rsid w:val="00343166"/>
    <w:rsid w:val="003438B2"/>
    <w:rsid w:val="00343A19"/>
    <w:rsid w:val="00343C06"/>
    <w:rsid w:val="00344317"/>
    <w:rsid w:val="0034444F"/>
    <w:rsid w:val="00344FE9"/>
    <w:rsid w:val="0034541F"/>
    <w:rsid w:val="0034603F"/>
    <w:rsid w:val="00346402"/>
    <w:rsid w:val="00346537"/>
    <w:rsid w:val="00346695"/>
    <w:rsid w:val="00346D41"/>
    <w:rsid w:val="00347CB3"/>
    <w:rsid w:val="0035249F"/>
    <w:rsid w:val="00352C7D"/>
    <w:rsid w:val="00354BBF"/>
    <w:rsid w:val="00354E0C"/>
    <w:rsid w:val="0035515B"/>
    <w:rsid w:val="0035612A"/>
    <w:rsid w:val="00356D47"/>
    <w:rsid w:val="003571D1"/>
    <w:rsid w:val="003578A4"/>
    <w:rsid w:val="00357C1F"/>
    <w:rsid w:val="00357C49"/>
    <w:rsid w:val="00360CCC"/>
    <w:rsid w:val="00361C1F"/>
    <w:rsid w:val="003620F4"/>
    <w:rsid w:val="00363319"/>
    <w:rsid w:val="00363940"/>
    <w:rsid w:val="00364186"/>
    <w:rsid w:val="0036560E"/>
    <w:rsid w:val="003657B5"/>
    <w:rsid w:val="003663A2"/>
    <w:rsid w:val="00366458"/>
    <w:rsid w:val="003667DE"/>
    <w:rsid w:val="00367153"/>
    <w:rsid w:val="003724B8"/>
    <w:rsid w:val="003724E0"/>
    <w:rsid w:val="00372715"/>
    <w:rsid w:val="00373CD6"/>
    <w:rsid w:val="00373F62"/>
    <w:rsid w:val="0037439B"/>
    <w:rsid w:val="00374DE1"/>
    <w:rsid w:val="003754BF"/>
    <w:rsid w:val="00375647"/>
    <w:rsid w:val="0037574F"/>
    <w:rsid w:val="00376929"/>
    <w:rsid w:val="00376AEE"/>
    <w:rsid w:val="00376E96"/>
    <w:rsid w:val="00380349"/>
    <w:rsid w:val="00380C38"/>
    <w:rsid w:val="003810F3"/>
    <w:rsid w:val="00381861"/>
    <w:rsid w:val="00382EBE"/>
    <w:rsid w:val="0038346A"/>
    <w:rsid w:val="0038418E"/>
    <w:rsid w:val="003842FE"/>
    <w:rsid w:val="00384448"/>
    <w:rsid w:val="003847CB"/>
    <w:rsid w:val="003862EF"/>
    <w:rsid w:val="0038646C"/>
    <w:rsid w:val="00386F91"/>
    <w:rsid w:val="00387D04"/>
    <w:rsid w:val="00391653"/>
    <w:rsid w:val="00391ECF"/>
    <w:rsid w:val="003920AB"/>
    <w:rsid w:val="003924E9"/>
    <w:rsid w:val="00392F70"/>
    <w:rsid w:val="00393B37"/>
    <w:rsid w:val="003951E6"/>
    <w:rsid w:val="00395CD8"/>
    <w:rsid w:val="0039623A"/>
    <w:rsid w:val="003962A4"/>
    <w:rsid w:val="00396668"/>
    <w:rsid w:val="00396F72"/>
    <w:rsid w:val="003A04F0"/>
    <w:rsid w:val="003A1D7A"/>
    <w:rsid w:val="003A1EDC"/>
    <w:rsid w:val="003A257C"/>
    <w:rsid w:val="003A2803"/>
    <w:rsid w:val="003A29D6"/>
    <w:rsid w:val="003A3494"/>
    <w:rsid w:val="003A3BA7"/>
    <w:rsid w:val="003A4255"/>
    <w:rsid w:val="003A4D45"/>
    <w:rsid w:val="003A5185"/>
    <w:rsid w:val="003A544D"/>
    <w:rsid w:val="003A5BE2"/>
    <w:rsid w:val="003A62D9"/>
    <w:rsid w:val="003A6C5D"/>
    <w:rsid w:val="003A71A7"/>
    <w:rsid w:val="003B016A"/>
    <w:rsid w:val="003B0580"/>
    <w:rsid w:val="003B1655"/>
    <w:rsid w:val="003B27B2"/>
    <w:rsid w:val="003B31E6"/>
    <w:rsid w:val="003B35E0"/>
    <w:rsid w:val="003B4484"/>
    <w:rsid w:val="003B467D"/>
    <w:rsid w:val="003B5072"/>
    <w:rsid w:val="003B5A40"/>
    <w:rsid w:val="003B642F"/>
    <w:rsid w:val="003B6D08"/>
    <w:rsid w:val="003B6E5D"/>
    <w:rsid w:val="003B7156"/>
    <w:rsid w:val="003B7524"/>
    <w:rsid w:val="003B7812"/>
    <w:rsid w:val="003B7954"/>
    <w:rsid w:val="003C1D6D"/>
    <w:rsid w:val="003C2A72"/>
    <w:rsid w:val="003C2DA8"/>
    <w:rsid w:val="003C2F1D"/>
    <w:rsid w:val="003C41DD"/>
    <w:rsid w:val="003C48F9"/>
    <w:rsid w:val="003C4EE3"/>
    <w:rsid w:val="003C544A"/>
    <w:rsid w:val="003C5CC3"/>
    <w:rsid w:val="003C66EB"/>
    <w:rsid w:val="003C6E19"/>
    <w:rsid w:val="003C7206"/>
    <w:rsid w:val="003C7D2F"/>
    <w:rsid w:val="003D1E18"/>
    <w:rsid w:val="003D1E46"/>
    <w:rsid w:val="003D2B25"/>
    <w:rsid w:val="003D2DC3"/>
    <w:rsid w:val="003D2F54"/>
    <w:rsid w:val="003D31DB"/>
    <w:rsid w:val="003D353A"/>
    <w:rsid w:val="003D35FE"/>
    <w:rsid w:val="003D4530"/>
    <w:rsid w:val="003D5AFC"/>
    <w:rsid w:val="003D5FA1"/>
    <w:rsid w:val="003D63DB"/>
    <w:rsid w:val="003D7170"/>
    <w:rsid w:val="003D74E6"/>
    <w:rsid w:val="003D7592"/>
    <w:rsid w:val="003D7630"/>
    <w:rsid w:val="003E0D29"/>
    <w:rsid w:val="003E178C"/>
    <w:rsid w:val="003E18EF"/>
    <w:rsid w:val="003E1A35"/>
    <w:rsid w:val="003E2157"/>
    <w:rsid w:val="003E33A7"/>
    <w:rsid w:val="003E35EA"/>
    <w:rsid w:val="003E4D86"/>
    <w:rsid w:val="003E61FB"/>
    <w:rsid w:val="003E632B"/>
    <w:rsid w:val="003E6DC5"/>
    <w:rsid w:val="003E7590"/>
    <w:rsid w:val="003E7E53"/>
    <w:rsid w:val="003F11D4"/>
    <w:rsid w:val="003F21E1"/>
    <w:rsid w:val="003F2211"/>
    <w:rsid w:val="003F246A"/>
    <w:rsid w:val="003F2970"/>
    <w:rsid w:val="003F4101"/>
    <w:rsid w:val="003F486A"/>
    <w:rsid w:val="003F4919"/>
    <w:rsid w:val="003F5FCD"/>
    <w:rsid w:val="003F6289"/>
    <w:rsid w:val="003F6483"/>
    <w:rsid w:val="003F6CA0"/>
    <w:rsid w:val="003F798A"/>
    <w:rsid w:val="003F7F1B"/>
    <w:rsid w:val="00400368"/>
    <w:rsid w:val="004009B5"/>
    <w:rsid w:val="00400B2A"/>
    <w:rsid w:val="00401B50"/>
    <w:rsid w:val="00402C8B"/>
    <w:rsid w:val="004044A7"/>
    <w:rsid w:val="004044BB"/>
    <w:rsid w:val="004053E1"/>
    <w:rsid w:val="00405EEE"/>
    <w:rsid w:val="004061F0"/>
    <w:rsid w:val="004065E0"/>
    <w:rsid w:val="0040767F"/>
    <w:rsid w:val="004114A1"/>
    <w:rsid w:val="004119FE"/>
    <w:rsid w:val="00412306"/>
    <w:rsid w:val="004128EA"/>
    <w:rsid w:val="00412E77"/>
    <w:rsid w:val="0041340E"/>
    <w:rsid w:val="0041395B"/>
    <w:rsid w:val="0041438E"/>
    <w:rsid w:val="004143F4"/>
    <w:rsid w:val="00414E42"/>
    <w:rsid w:val="004164D2"/>
    <w:rsid w:val="00417D16"/>
    <w:rsid w:val="004202E7"/>
    <w:rsid w:val="0042094E"/>
    <w:rsid w:val="004209D2"/>
    <w:rsid w:val="00420CC7"/>
    <w:rsid w:val="00420D24"/>
    <w:rsid w:val="004211C2"/>
    <w:rsid w:val="004239F8"/>
    <w:rsid w:val="004243A1"/>
    <w:rsid w:val="004247C4"/>
    <w:rsid w:val="00425392"/>
    <w:rsid w:val="0042545B"/>
    <w:rsid w:val="004255E4"/>
    <w:rsid w:val="00425B64"/>
    <w:rsid w:val="00425E10"/>
    <w:rsid w:val="004272BA"/>
    <w:rsid w:val="0042742C"/>
    <w:rsid w:val="0042785D"/>
    <w:rsid w:val="00427CE0"/>
    <w:rsid w:val="00427DEA"/>
    <w:rsid w:val="00427F15"/>
    <w:rsid w:val="00431F7F"/>
    <w:rsid w:val="004338A6"/>
    <w:rsid w:val="004339AE"/>
    <w:rsid w:val="00434A9C"/>
    <w:rsid w:val="00434D7F"/>
    <w:rsid w:val="00434E47"/>
    <w:rsid w:val="004357D9"/>
    <w:rsid w:val="00436F77"/>
    <w:rsid w:val="00436FB0"/>
    <w:rsid w:val="00437B51"/>
    <w:rsid w:val="00437BA1"/>
    <w:rsid w:val="004411E6"/>
    <w:rsid w:val="004412CE"/>
    <w:rsid w:val="004419D0"/>
    <w:rsid w:val="00441C7C"/>
    <w:rsid w:val="00442332"/>
    <w:rsid w:val="00442FA6"/>
    <w:rsid w:val="0044376E"/>
    <w:rsid w:val="0044446C"/>
    <w:rsid w:val="0044474B"/>
    <w:rsid w:val="0044487B"/>
    <w:rsid w:val="00444FA6"/>
    <w:rsid w:val="0044510B"/>
    <w:rsid w:val="004468D2"/>
    <w:rsid w:val="0044714C"/>
    <w:rsid w:val="00450196"/>
    <w:rsid w:val="0045030F"/>
    <w:rsid w:val="004521C8"/>
    <w:rsid w:val="0045267C"/>
    <w:rsid w:val="00452DF5"/>
    <w:rsid w:val="0045350D"/>
    <w:rsid w:val="004548E0"/>
    <w:rsid w:val="00454FD5"/>
    <w:rsid w:val="00455132"/>
    <w:rsid w:val="004552C1"/>
    <w:rsid w:val="00455ECA"/>
    <w:rsid w:val="00456220"/>
    <w:rsid w:val="00456A70"/>
    <w:rsid w:val="00456E96"/>
    <w:rsid w:val="004610E7"/>
    <w:rsid w:val="00461A51"/>
    <w:rsid w:val="0046248D"/>
    <w:rsid w:val="0046338E"/>
    <w:rsid w:val="00464447"/>
    <w:rsid w:val="0046665B"/>
    <w:rsid w:val="00466A3D"/>
    <w:rsid w:val="0046756A"/>
    <w:rsid w:val="00470EF4"/>
    <w:rsid w:val="00470F90"/>
    <w:rsid w:val="00471013"/>
    <w:rsid w:val="00471C51"/>
    <w:rsid w:val="004724A3"/>
    <w:rsid w:val="00472C10"/>
    <w:rsid w:val="00473D51"/>
    <w:rsid w:val="00474C50"/>
    <w:rsid w:val="004757D4"/>
    <w:rsid w:val="004760F7"/>
    <w:rsid w:val="004765DD"/>
    <w:rsid w:val="00476BB8"/>
    <w:rsid w:val="00477F5B"/>
    <w:rsid w:val="004802B3"/>
    <w:rsid w:val="00481BD8"/>
    <w:rsid w:val="00482A9A"/>
    <w:rsid w:val="00482C28"/>
    <w:rsid w:val="00483070"/>
    <w:rsid w:val="00483539"/>
    <w:rsid w:val="004849B0"/>
    <w:rsid w:val="00484B8E"/>
    <w:rsid w:val="004866C8"/>
    <w:rsid w:val="00487B7C"/>
    <w:rsid w:val="0049000E"/>
    <w:rsid w:val="00491349"/>
    <w:rsid w:val="00492446"/>
    <w:rsid w:val="004930DF"/>
    <w:rsid w:val="004931A8"/>
    <w:rsid w:val="004941A6"/>
    <w:rsid w:val="00494C89"/>
    <w:rsid w:val="00495CBA"/>
    <w:rsid w:val="0049622A"/>
    <w:rsid w:val="0049706E"/>
    <w:rsid w:val="004973C8"/>
    <w:rsid w:val="004A0797"/>
    <w:rsid w:val="004A0920"/>
    <w:rsid w:val="004A0DAD"/>
    <w:rsid w:val="004A0EB2"/>
    <w:rsid w:val="004A1AF4"/>
    <w:rsid w:val="004A2A67"/>
    <w:rsid w:val="004A2AC7"/>
    <w:rsid w:val="004A2D1B"/>
    <w:rsid w:val="004A3CE0"/>
    <w:rsid w:val="004A4321"/>
    <w:rsid w:val="004A4C64"/>
    <w:rsid w:val="004A5159"/>
    <w:rsid w:val="004A5610"/>
    <w:rsid w:val="004A579F"/>
    <w:rsid w:val="004A7386"/>
    <w:rsid w:val="004A799C"/>
    <w:rsid w:val="004B0F2B"/>
    <w:rsid w:val="004B12E0"/>
    <w:rsid w:val="004B2100"/>
    <w:rsid w:val="004B23EE"/>
    <w:rsid w:val="004B26F6"/>
    <w:rsid w:val="004B2952"/>
    <w:rsid w:val="004B2C03"/>
    <w:rsid w:val="004B2E79"/>
    <w:rsid w:val="004B3204"/>
    <w:rsid w:val="004B3A3C"/>
    <w:rsid w:val="004B4551"/>
    <w:rsid w:val="004B5092"/>
    <w:rsid w:val="004B5540"/>
    <w:rsid w:val="004B56B5"/>
    <w:rsid w:val="004C05E4"/>
    <w:rsid w:val="004C133D"/>
    <w:rsid w:val="004C1494"/>
    <w:rsid w:val="004C1800"/>
    <w:rsid w:val="004C1C8B"/>
    <w:rsid w:val="004C2100"/>
    <w:rsid w:val="004C262D"/>
    <w:rsid w:val="004C4CEC"/>
    <w:rsid w:val="004C596D"/>
    <w:rsid w:val="004C627F"/>
    <w:rsid w:val="004C6A63"/>
    <w:rsid w:val="004C6F1E"/>
    <w:rsid w:val="004D0A6A"/>
    <w:rsid w:val="004D0C98"/>
    <w:rsid w:val="004D13F6"/>
    <w:rsid w:val="004D145B"/>
    <w:rsid w:val="004D1C1C"/>
    <w:rsid w:val="004D363A"/>
    <w:rsid w:val="004D4A13"/>
    <w:rsid w:val="004D5325"/>
    <w:rsid w:val="004D67FD"/>
    <w:rsid w:val="004D68C7"/>
    <w:rsid w:val="004E0503"/>
    <w:rsid w:val="004E05FF"/>
    <w:rsid w:val="004E2B15"/>
    <w:rsid w:val="004E2C43"/>
    <w:rsid w:val="004E3ACF"/>
    <w:rsid w:val="004E3C10"/>
    <w:rsid w:val="004E3E72"/>
    <w:rsid w:val="004E4616"/>
    <w:rsid w:val="004E48DA"/>
    <w:rsid w:val="004E4F70"/>
    <w:rsid w:val="004E5EAC"/>
    <w:rsid w:val="004E6520"/>
    <w:rsid w:val="004E6784"/>
    <w:rsid w:val="004E6DCE"/>
    <w:rsid w:val="004E76EC"/>
    <w:rsid w:val="004F0212"/>
    <w:rsid w:val="004F0A73"/>
    <w:rsid w:val="004F1875"/>
    <w:rsid w:val="004F1BB2"/>
    <w:rsid w:val="004F3259"/>
    <w:rsid w:val="004F34F1"/>
    <w:rsid w:val="004F5F4B"/>
    <w:rsid w:val="004F6DEF"/>
    <w:rsid w:val="004F70E8"/>
    <w:rsid w:val="004F7802"/>
    <w:rsid w:val="005001A9"/>
    <w:rsid w:val="0050039D"/>
    <w:rsid w:val="0050164A"/>
    <w:rsid w:val="00501E0F"/>
    <w:rsid w:val="0050272A"/>
    <w:rsid w:val="00502760"/>
    <w:rsid w:val="00502D9C"/>
    <w:rsid w:val="00503887"/>
    <w:rsid w:val="005039C5"/>
    <w:rsid w:val="005048BB"/>
    <w:rsid w:val="0050516E"/>
    <w:rsid w:val="00505B1D"/>
    <w:rsid w:val="00505D67"/>
    <w:rsid w:val="005065A4"/>
    <w:rsid w:val="00507096"/>
    <w:rsid w:val="0050737B"/>
    <w:rsid w:val="00507F51"/>
    <w:rsid w:val="0051133E"/>
    <w:rsid w:val="00511845"/>
    <w:rsid w:val="0051208E"/>
    <w:rsid w:val="0051233D"/>
    <w:rsid w:val="00512379"/>
    <w:rsid w:val="0051280E"/>
    <w:rsid w:val="00512FDA"/>
    <w:rsid w:val="0051308D"/>
    <w:rsid w:val="005132B6"/>
    <w:rsid w:val="0051488D"/>
    <w:rsid w:val="00516140"/>
    <w:rsid w:val="00517624"/>
    <w:rsid w:val="00520807"/>
    <w:rsid w:val="005211A3"/>
    <w:rsid w:val="005214DB"/>
    <w:rsid w:val="005218ED"/>
    <w:rsid w:val="00521D78"/>
    <w:rsid w:val="00522CD9"/>
    <w:rsid w:val="005232A9"/>
    <w:rsid w:val="00523A1B"/>
    <w:rsid w:val="005249A4"/>
    <w:rsid w:val="00525889"/>
    <w:rsid w:val="00525BD5"/>
    <w:rsid w:val="00526078"/>
    <w:rsid w:val="0052678B"/>
    <w:rsid w:val="00526D01"/>
    <w:rsid w:val="005271BB"/>
    <w:rsid w:val="005272EF"/>
    <w:rsid w:val="00530A08"/>
    <w:rsid w:val="00531E13"/>
    <w:rsid w:val="00532BBB"/>
    <w:rsid w:val="00532BD8"/>
    <w:rsid w:val="0053371A"/>
    <w:rsid w:val="00533A92"/>
    <w:rsid w:val="00534979"/>
    <w:rsid w:val="00534AE4"/>
    <w:rsid w:val="00535CDB"/>
    <w:rsid w:val="00536442"/>
    <w:rsid w:val="00537222"/>
    <w:rsid w:val="0053766E"/>
    <w:rsid w:val="005403C0"/>
    <w:rsid w:val="005405C7"/>
    <w:rsid w:val="00542313"/>
    <w:rsid w:val="005436FD"/>
    <w:rsid w:val="00545E44"/>
    <w:rsid w:val="00546764"/>
    <w:rsid w:val="00550249"/>
    <w:rsid w:val="005503F2"/>
    <w:rsid w:val="00551095"/>
    <w:rsid w:val="00551232"/>
    <w:rsid w:val="0055142D"/>
    <w:rsid w:val="00551599"/>
    <w:rsid w:val="0055213E"/>
    <w:rsid w:val="00552343"/>
    <w:rsid w:val="005534D0"/>
    <w:rsid w:val="005535A8"/>
    <w:rsid w:val="00556466"/>
    <w:rsid w:val="00556C08"/>
    <w:rsid w:val="00557676"/>
    <w:rsid w:val="00557980"/>
    <w:rsid w:val="00557D79"/>
    <w:rsid w:val="00560380"/>
    <w:rsid w:val="00561FB6"/>
    <w:rsid w:val="005621E8"/>
    <w:rsid w:val="0056224D"/>
    <w:rsid w:val="0056245B"/>
    <w:rsid w:val="00563CD0"/>
    <w:rsid w:val="00566CC8"/>
    <w:rsid w:val="005673F8"/>
    <w:rsid w:val="00567404"/>
    <w:rsid w:val="00567452"/>
    <w:rsid w:val="0057081E"/>
    <w:rsid w:val="00572723"/>
    <w:rsid w:val="00572773"/>
    <w:rsid w:val="00573319"/>
    <w:rsid w:val="0057367A"/>
    <w:rsid w:val="00573B72"/>
    <w:rsid w:val="00574249"/>
    <w:rsid w:val="00575129"/>
    <w:rsid w:val="00575B25"/>
    <w:rsid w:val="00576A4D"/>
    <w:rsid w:val="00576AF3"/>
    <w:rsid w:val="0058065A"/>
    <w:rsid w:val="0058072C"/>
    <w:rsid w:val="00581170"/>
    <w:rsid w:val="00581264"/>
    <w:rsid w:val="005816CD"/>
    <w:rsid w:val="00581A1E"/>
    <w:rsid w:val="00581B37"/>
    <w:rsid w:val="0058206D"/>
    <w:rsid w:val="00582C18"/>
    <w:rsid w:val="00583F0B"/>
    <w:rsid w:val="00584C30"/>
    <w:rsid w:val="00585162"/>
    <w:rsid w:val="00585AB1"/>
    <w:rsid w:val="0058669D"/>
    <w:rsid w:val="00586FC2"/>
    <w:rsid w:val="00587FE1"/>
    <w:rsid w:val="00590312"/>
    <w:rsid w:val="00591B9A"/>
    <w:rsid w:val="00591D1B"/>
    <w:rsid w:val="005938EA"/>
    <w:rsid w:val="0059427E"/>
    <w:rsid w:val="00594772"/>
    <w:rsid w:val="00594D2A"/>
    <w:rsid w:val="00595F4C"/>
    <w:rsid w:val="00596095"/>
    <w:rsid w:val="0059640E"/>
    <w:rsid w:val="00596C1A"/>
    <w:rsid w:val="00597DED"/>
    <w:rsid w:val="005A0B59"/>
    <w:rsid w:val="005A0C13"/>
    <w:rsid w:val="005A10C2"/>
    <w:rsid w:val="005A137A"/>
    <w:rsid w:val="005A1F43"/>
    <w:rsid w:val="005A2646"/>
    <w:rsid w:val="005A3C5C"/>
    <w:rsid w:val="005A4BAF"/>
    <w:rsid w:val="005A575C"/>
    <w:rsid w:val="005A7889"/>
    <w:rsid w:val="005B194C"/>
    <w:rsid w:val="005B1AEF"/>
    <w:rsid w:val="005B27F1"/>
    <w:rsid w:val="005B2D71"/>
    <w:rsid w:val="005B3E45"/>
    <w:rsid w:val="005B3EAD"/>
    <w:rsid w:val="005B6E3D"/>
    <w:rsid w:val="005B787D"/>
    <w:rsid w:val="005B79FC"/>
    <w:rsid w:val="005C03FD"/>
    <w:rsid w:val="005C04FC"/>
    <w:rsid w:val="005C220C"/>
    <w:rsid w:val="005C2950"/>
    <w:rsid w:val="005C2ADA"/>
    <w:rsid w:val="005C2EC7"/>
    <w:rsid w:val="005C3076"/>
    <w:rsid w:val="005C3FF2"/>
    <w:rsid w:val="005C4985"/>
    <w:rsid w:val="005C4A45"/>
    <w:rsid w:val="005C4F11"/>
    <w:rsid w:val="005C4FC0"/>
    <w:rsid w:val="005C5112"/>
    <w:rsid w:val="005C7673"/>
    <w:rsid w:val="005C7D0F"/>
    <w:rsid w:val="005D17F9"/>
    <w:rsid w:val="005D1A60"/>
    <w:rsid w:val="005D1BDD"/>
    <w:rsid w:val="005D27FC"/>
    <w:rsid w:val="005D2FB3"/>
    <w:rsid w:val="005D4045"/>
    <w:rsid w:val="005D4B1C"/>
    <w:rsid w:val="005D5E0F"/>
    <w:rsid w:val="005D6241"/>
    <w:rsid w:val="005D6A83"/>
    <w:rsid w:val="005D6B3F"/>
    <w:rsid w:val="005D7B2F"/>
    <w:rsid w:val="005E0F81"/>
    <w:rsid w:val="005E124A"/>
    <w:rsid w:val="005E1E1A"/>
    <w:rsid w:val="005E20E3"/>
    <w:rsid w:val="005E2644"/>
    <w:rsid w:val="005E3467"/>
    <w:rsid w:val="005E3C59"/>
    <w:rsid w:val="005E574C"/>
    <w:rsid w:val="005E6850"/>
    <w:rsid w:val="005E6EFF"/>
    <w:rsid w:val="005F09E2"/>
    <w:rsid w:val="005F1116"/>
    <w:rsid w:val="005F142E"/>
    <w:rsid w:val="005F45CE"/>
    <w:rsid w:val="005F4EE7"/>
    <w:rsid w:val="005F50AB"/>
    <w:rsid w:val="005F69DA"/>
    <w:rsid w:val="005F7302"/>
    <w:rsid w:val="005F734F"/>
    <w:rsid w:val="0060073C"/>
    <w:rsid w:val="00602004"/>
    <w:rsid w:val="006026FD"/>
    <w:rsid w:val="0060275F"/>
    <w:rsid w:val="006032C3"/>
    <w:rsid w:val="00605135"/>
    <w:rsid w:val="00606E4E"/>
    <w:rsid w:val="00607D13"/>
    <w:rsid w:val="0061035E"/>
    <w:rsid w:val="00610AA5"/>
    <w:rsid w:val="006114C1"/>
    <w:rsid w:val="00611C71"/>
    <w:rsid w:val="00613B65"/>
    <w:rsid w:val="00614FD9"/>
    <w:rsid w:val="006153F1"/>
    <w:rsid w:val="00615EC3"/>
    <w:rsid w:val="0061609C"/>
    <w:rsid w:val="006173DD"/>
    <w:rsid w:val="006176CE"/>
    <w:rsid w:val="0062014D"/>
    <w:rsid w:val="00621414"/>
    <w:rsid w:val="006214F3"/>
    <w:rsid w:val="00623442"/>
    <w:rsid w:val="00623BD4"/>
    <w:rsid w:val="00623EFD"/>
    <w:rsid w:val="00624D4D"/>
    <w:rsid w:val="00625954"/>
    <w:rsid w:val="00625C25"/>
    <w:rsid w:val="00625D0E"/>
    <w:rsid w:val="00625E13"/>
    <w:rsid w:val="00626150"/>
    <w:rsid w:val="006265AD"/>
    <w:rsid w:val="00626979"/>
    <w:rsid w:val="00627502"/>
    <w:rsid w:val="00627D80"/>
    <w:rsid w:val="00627F74"/>
    <w:rsid w:val="00632597"/>
    <w:rsid w:val="00633098"/>
    <w:rsid w:val="006336C7"/>
    <w:rsid w:val="00633A0B"/>
    <w:rsid w:val="00633AA7"/>
    <w:rsid w:val="00633EB2"/>
    <w:rsid w:val="006348C2"/>
    <w:rsid w:val="0063625E"/>
    <w:rsid w:val="00636A1F"/>
    <w:rsid w:val="00636AAC"/>
    <w:rsid w:val="0064074A"/>
    <w:rsid w:val="00640CD5"/>
    <w:rsid w:val="006412BD"/>
    <w:rsid w:val="00641B8B"/>
    <w:rsid w:val="00641E05"/>
    <w:rsid w:val="006429E5"/>
    <w:rsid w:val="00642C46"/>
    <w:rsid w:val="00643139"/>
    <w:rsid w:val="00643F13"/>
    <w:rsid w:val="00644992"/>
    <w:rsid w:val="00645159"/>
    <w:rsid w:val="006452A2"/>
    <w:rsid w:val="00645519"/>
    <w:rsid w:val="0064563F"/>
    <w:rsid w:val="00645889"/>
    <w:rsid w:val="00645F82"/>
    <w:rsid w:val="00646212"/>
    <w:rsid w:val="00646900"/>
    <w:rsid w:val="00647547"/>
    <w:rsid w:val="00647CAB"/>
    <w:rsid w:val="0065066C"/>
    <w:rsid w:val="00651145"/>
    <w:rsid w:val="00651E2E"/>
    <w:rsid w:val="0065302C"/>
    <w:rsid w:val="006539C3"/>
    <w:rsid w:val="00654510"/>
    <w:rsid w:val="00654921"/>
    <w:rsid w:val="00654F8B"/>
    <w:rsid w:val="00655087"/>
    <w:rsid w:val="00655412"/>
    <w:rsid w:val="00655713"/>
    <w:rsid w:val="00657186"/>
    <w:rsid w:val="0065725B"/>
    <w:rsid w:val="006577C3"/>
    <w:rsid w:val="00661041"/>
    <w:rsid w:val="00661135"/>
    <w:rsid w:val="0066157C"/>
    <w:rsid w:val="006615BE"/>
    <w:rsid w:val="006618F3"/>
    <w:rsid w:val="00662A32"/>
    <w:rsid w:val="00664696"/>
    <w:rsid w:val="00664A88"/>
    <w:rsid w:val="00664CF2"/>
    <w:rsid w:val="006650CF"/>
    <w:rsid w:val="00666576"/>
    <w:rsid w:val="0066771E"/>
    <w:rsid w:val="00670620"/>
    <w:rsid w:val="00670A10"/>
    <w:rsid w:val="006720F2"/>
    <w:rsid w:val="00672242"/>
    <w:rsid w:val="006723B4"/>
    <w:rsid w:val="006731E3"/>
    <w:rsid w:val="006738B7"/>
    <w:rsid w:val="00673AC0"/>
    <w:rsid w:val="00673DAA"/>
    <w:rsid w:val="00674362"/>
    <w:rsid w:val="0067535A"/>
    <w:rsid w:val="00675E27"/>
    <w:rsid w:val="00677366"/>
    <w:rsid w:val="0068082A"/>
    <w:rsid w:val="0068122D"/>
    <w:rsid w:val="00682857"/>
    <w:rsid w:val="006839CF"/>
    <w:rsid w:val="00683D82"/>
    <w:rsid w:val="00684DC4"/>
    <w:rsid w:val="00685362"/>
    <w:rsid w:val="006864D0"/>
    <w:rsid w:val="00687B3A"/>
    <w:rsid w:val="00690261"/>
    <w:rsid w:val="00690302"/>
    <w:rsid w:val="0069079F"/>
    <w:rsid w:val="00692168"/>
    <w:rsid w:val="00692B7D"/>
    <w:rsid w:val="00694940"/>
    <w:rsid w:val="00694E46"/>
    <w:rsid w:val="006964B0"/>
    <w:rsid w:val="006969ED"/>
    <w:rsid w:val="00696B4B"/>
    <w:rsid w:val="00696F79"/>
    <w:rsid w:val="006A0458"/>
    <w:rsid w:val="006A14CC"/>
    <w:rsid w:val="006A16DF"/>
    <w:rsid w:val="006A1EF7"/>
    <w:rsid w:val="006A2265"/>
    <w:rsid w:val="006A309B"/>
    <w:rsid w:val="006A344B"/>
    <w:rsid w:val="006A351A"/>
    <w:rsid w:val="006A48C6"/>
    <w:rsid w:val="006A4992"/>
    <w:rsid w:val="006A4DEC"/>
    <w:rsid w:val="006A6119"/>
    <w:rsid w:val="006A685A"/>
    <w:rsid w:val="006B0CB1"/>
    <w:rsid w:val="006B1B9E"/>
    <w:rsid w:val="006B307A"/>
    <w:rsid w:val="006B43E6"/>
    <w:rsid w:val="006B44C9"/>
    <w:rsid w:val="006B4C86"/>
    <w:rsid w:val="006B55FB"/>
    <w:rsid w:val="006B63E7"/>
    <w:rsid w:val="006B6B70"/>
    <w:rsid w:val="006B79AB"/>
    <w:rsid w:val="006B7F39"/>
    <w:rsid w:val="006C0293"/>
    <w:rsid w:val="006C16ED"/>
    <w:rsid w:val="006C1C26"/>
    <w:rsid w:val="006C1F8D"/>
    <w:rsid w:val="006C363F"/>
    <w:rsid w:val="006C3763"/>
    <w:rsid w:val="006C54F1"/>
    <w:rsid w:val="006C5EB1"/>
    <w:rsid w:val="006C7598"/>
    <w:rsid w:val="006C75A5"/>
    <w:rsid w:val="006C7BE4"/>
    <w:rsid w:val="006D007A"/>
    <w:rsid w:val="006D14EE"/>
    <w:rsid w:val="006D2279"/>
    <w:rsid w:val="006D25E2"/>
    <w:rsid w:val="006D2B08"/>
    <w:rsid w:val="006D3525"/>
    <w:rsid w:val="006D4CEE"/>
    <w:rsid w:val="006D4EAF"/>
    <w:rsid w:val="006D61E1"/>
    <w:rsid w:val="006E3AE3"/>
    <w:rsid w:val="006E3B6C"/>
    <w:rsid w:val="006E45C3"/>
    <w:rsid w:val="006E5E85"/>
    <w:rsid w:val="006E63A1"/>
    <w:rsid w:val="006E70E7"/>
    <w:rsid w:val="006E7557"/>
    <w:rsid w:val="006E75A0"/>
    <w:rsid w:val="006E79D9"/>
    <w:rsid w:val="006E7A2F"/>
    <w:rsid w:val="006E7AD5"/>
    <w:rsid w:val="006F08F8"/>
    <w:rsid w:val="006F0B09"/>
    <w:rsid w:val="006F18EF"/>
    <w:rsid w:val="006F2454"/>
    <w:rsid w:val="006F38F5"/>
    <w:rsid w:val="006F3928"/>
    <w:rsid w:val="006F4D7C"/>
    <w:rsid w:val="006F52B3"/>
    <w:rsid w:val="006F778B"/>
    <w:rsid w:val="006F7D3B"/>
    <w:rsid w:val="007015EE"/>
    <w:rsid w:val="00701E38"/>
    <w:rsid w:val="00702C9A"/>
    <w:rsid w:val="00702CA8"/>
    <w:rsid w:val="00702E22"/>
    <w:rsid w:val="007032F4"/>
    <w:rsid w:val="00704039"/>
    <w:rsid w:val="007044BC"/>
    <w:rsid w:val="007045AA"/>
    <w:rsid w:val="0070475D"/>
    <w:rsid w:val="00704BFE"/>
    <w:rsid w:val="0070580C"/>
    <w:rsid w:val="0070586D"/>
    <w:rsid w:val="0070611E"/>
    <w:rsid w:val="0070731D"/>
    <w:rsid w:val="00707738"/>
    <w:rsid w:val="007110AA"/>
    <w:rsid w:val="00712608"/>
    <w:rsid w:val="007148AE"/>
    <w:rsid w:val="00715390"/>
    <w:rsid w:val="007153D3"/>
    <w:rsid w:val="00715FBF"/>
    <w:rsid w:val="007163A3"/>
    <w:rsid w:val="00716504"/>
    <w:rsid w:val="0071750C"/>
    <w:rsid w:val="00717C39"/>
    <w:rsid w:val="00720EA5"/>
    <w:rsid w:val="0072130C"/>
    <w:rsid w:val="0072166C"/>
    <w:rsid w:val="00721960"/>
    <w:rsid w:val="00722175"/>
    <w:rsid w:val="00722DA3"/>
    <w:rsid w:val="0072321A"/>
    <w:rsid w:val="007235AD"/>
    <w:rsid w:val="00723832"/>
    <w:rsid w:val="00725603"/>
    <w:rsid w:val="007259B7"/>
    <w:rsid w:val="00725E0B"/>
    <w:rsid w:val="00725F58"/>
    <w:rsid w:val="007265FC"/>
    <w:rsid w:val="00726EE8"/>
    <w:rsid w:val="00730680"/>
    <w:rsid w:val="00730F7D"/>
    <w:rsid w:val="00731247"/>
    <w:rsid w:val="00732A31"/>
    <w:rsid w:val="00732CE9"/>
    <w:rsid w:val="00732DE3"/>
    <w:rsid w:val="00733815"/>
    <w:rsid w:val="00733974"/>
    <w:rsid w:val="00733C6C"/>
    <w:rsid w:val="00733FE5"/>
    <w:rsid w:val="007346FF"/>
    <w:rsid w:val="0073481F"/>
    <w:rsid w:val="007349C4"/>
    <w:rsid w:val="00734F46"/>
    <w:rsid w:val="007351CE"/>
    <w:rsid w:val="00735E4A"/>
    <w:rsid w:val="00737139"/>
    <w:rsid w:val="00737D1B"/>
    <w:rsid w:val="00740994"/>
    <w:rsid w:val="00740B5B"/>
    <w:rsid w:val="007411AA"/>
    <w:rsid w:val="00742BC0"/>
    <w:rsid w:val="00742D81"/>
    <w:rsid w:val="00743BD4"/>
    <w:rsid w:val="00744DCB"/>
    <w:rsid w:val="00745FC5"/>
    <w:rsid w:val="00745FC8"/>
    <w:rsid w:val="00746190"/>
    <w:rsid w:val="007466A8"/>
    <w:rsid w:val="007470B5"/>
    <w:rsid w:val="007474EC"/>
    <w:rsid w:val="00747A36"/>
    <w:rsid w:val="00747ED7"/>
    <w:rsid w:val="00747F63"/>
    <w:rsid w:val="00750C0E"/>
    <w:rsid w:val="0075167C"/>
    <w:rsid w:val="00751BBB"/>
    <w:rsid w:val="0075274C"/>
    <w:rsid w:val="00752D69"/>
    <w:rsid w:val="0075488B"/>
    <w:rsid w:val="00754CD5"/>
    <w:rsid w:val="0075529B"/>
    <w:rsid w:val="0075551D"/>
    <w:rsid w:val="007566B5"/>
    <w:rsid w:val="007568BA"/>
    <w:rsid w:val="00757F4E"/>
    <w:rsid w:val="00760424"/>
    <w:rsid w:val="00760AEE"/>
    <w:rsid w:val="0076167A"/>
    <w:rsid w:val="00761EFA"/>
    <w:rsid w:val="007626AF"/>
    <w:rsid w:val="0076295C"/>
    <w:rsid w:val="00762EF8"/>
    <w:rsid w:val="007638F8"/>
    <w:rsid w:val="0076416D"/>
    <w:rsid w:val="007656B8"/>
    <w:rsid w:val="007658BB"/>
    <w:rsid w:val="00765D7D"/>
    <w:rsid w:val="00765DAA"/>
    <w:rsid w:val="00766348"/>
    <w:rsid w:val="00766E41"/>
    <w:rsid w:val="007679DD"/>
    <w:rsid w:val="00767AE8"/>
    <w:rsid w:val="00770607"/>
    <w:rsid w:val="00770A80"/>
    <w:rsid w:val="00770D0C"/>
    <w:rsid w:val="007726C8"/>
    <w:rsid w:val="00773109"/>
    <w:rsid w:val="00773560"/>
    <w:rsid w:val="00773816"/>
    <w:rsid w:val="00773B55"/>
    <w:rsid w:val="007740CF"/>
    <w:rsid w:val="007744C8"/>
    <w:rsid w:val="00774EC3"/>
    <w:rsid w:val="0077579F"/>
    <w:rsid w:val="00775FDF"/>
    <w:rsid w:val="0077661F"/>
    <w:rsid w:val="00777071"/>
    <w:rsid w:val="007771A6"/>
    <w:rsid w:val="007776EE"/>
    <w:rsid w:val="007778F6"/>
    <w:rsid w:val="007808B7"/>
    <w:rsid w:val="00781710"/>
    <w:rsid w:val="007823F5"/>
    <w:rsid w:val="0078323B"/>
    <w:rsid w:val="00784C3A"/>
    <w:rsid w:val="0078516E"/>
    <w:rsid w:val="007851FB"/>
    <w:rsid w:val="007877A1"/>
    <w:rsid w:val="007900FC"/>
    <w:rsid w:val="0079017E"/>
    <w:rsid w:val="007930E2"/>
    <w:rsid w:val="007934D0"/>
    <w:rsid w:val="007937CF"/>
    <w:rsid w:val="00793B65"/>
    <w:rsid w:val="00793B9A"/>
    <w:rsid w:val="00797708"/>
    <w:rsid w:val="007A039B"/>
    <w:rsid w:val="007A1104"/>
    <w:rsid w:val="007A1858"/>
    <w:rsid w:val="007A1AC5"/>
    <w:rsid w:val="007A34AB"/>
    <w:rsid w:val="007A370A"/>
    <w:rsid w:val="007A542E"/>
    <w:rsid w:val="007A5453"/>
    <w:rsid w:val="007A5B07"/>
    <w:rsid w:val="007A5FC7"/>
    <w:rsid w:val="007A65E3"/>
    <w:rsid w:val="007A6616"/>
    <w:rsid w:val="007A6C2F"/>
    <w:rsid w:val="007A6F01"/>
    <w:rsid w:val="007A7657"/>
    <w:rsid w:val="007B033F"/>
    <w:rsid w:val="007B0B27"/>
    <w:rsid w:val="007B0D1E"/>
    <w:rsid w:val="007B0FD9"/>
    <w:rsid w:val="007B1A85"/>
    <w:rsid w:val="007B360F"/>
    <w:rsid w:val="007B4810"/>
    <w:rsid w:val="007B5AD6"/>
    <w:rsid w:val="007B5D60"/>
    <w:rsid w:val="007B643E"/>
    <w:rsid w:val="007B67B7"/>
    <w:rsid w:val="007B791A"/>
    <w:rsid w:val="007B7C6B"/>
    <w:rsid w:val="007C016C"/>
    <w:rsid w:val="007C0FCB"/>
    <w:rsid w:val="007C4961"/>
    <w:rsid w:val="007C4F8D"/>
    <w:rsid w:val="007C4FC2"/>
    <w:rsid w:val="007C58E8"/>
    <w:rsid w:val="007C5EB0"/>
    <w:rsid w:val="007C799B"/>
    <w:rsid w:val="007C7A84"/>
    <w:rsid w:val="007D00F5"/>
    <w:rsid w:val="007D053B"/>
    <w:rsid w:val="007D182A"/>
    <w:rsid w:val="007D236B"/>
    <w:rsid w:val="007D29AE"/>
    <w:rsid w:val="007D2E21"/>
    <w:rsid w:val="007D3390"/>
    <w:rsid w:val="007D3A83"/>
    <w:rsid w:val="007D4FCD"/>
    <w:rsid w:val="007D56F1"/>
    <w:rsid w:val="007D578B"/>
    <w:rsid w:val="007D5C4D"/>
    <w:rsid w:val="007D65E2"/>
    <w:rsid w:val="007D6FD9"/>
    <w:rsid w:val="007D7731"/>
    <w:rsid w:val="007D777F"/>
    <w:rsid w:val="007D7D3C"/>
    <w:rsid w:val="007E03DF"/>
    <w:rsid w:val="007E0DCD"/>
    <w:rsid w:val="007E1918"/>
    <w:rsid w:val="007E2780"/>
    <w:rsid w:val="007E2E75"/>
    <w:rsid w:val="007E3DE9"/>
    <w:rsid w:val="007E48CC"/>
    <w:rsid w:val="007E5B26"/>
    <w:rsid w:val="007E78D2"/>
    <w:rsid w:val="007E7EC8"/>
    <w:rsid w:val="007F07FD"/>
    <w:rsid w:val="007F0F5E"/>
    <w:rsid w:val="007F1062"/>
    <w:rsid w:val="007F1D21"/>
    <w:rsid w:val="007F1D67"/>
    <w:rsid w:val="007F1D98"/>
    <w:rsid w:val="007F2110"/>
    <w:rsid w:val="007F27DA"/>
    <w:rsid w:val="007F27E2"/>
    <w:rsid w:val="007F3AB2"/>
    <w:rsid w:val="007F3B85"/>
    <w:rsid w:val="007F462E"/>
    <w:rsid w:val="007F5968"/>
    <w:rsid w:val="007F6BB0"/>
    <w:rsid w:val="007F709A"/>
    <w:rsid w:val="007F7352"/>
    <w:rsid w:val="007F77A3"/>
    <w:rsid w:val="007F7C19"/>
    <w:rsid w:val="008001D8"/>
    <w:rsid w:val="00800481"/>
    <w:rsid w:val="0080081C"/>
    <w:rsid w:val="00800C1E"/>
    <w:rsid w:val="0080114E"/>
    <w:rsid w:val="00801EBF"/>
    <w:rsid w:val="00802F19"/>
    <w:rsid w:val="00804471"/>
    <w:rsid w:val="00804521"/>
    <w:rsid w:val="00804FAE"/>
    <w:rsid w:val="00805569"/>
    <w:rsid w:val="00807373"/>
    <w:rsid w:val="008104A8"/>
    <w:rsid w:val="008112F5"/>
    <w:rsid w:val="008113F0"/>
    <w:rsid w:val="0081174B"/>
    <w:rsid w:val="00811783"/>
    <w:rsid w:val="0081237A"/>
    <w:rsid w:val="00812A14"/>
    <w:rsid w:val="008137F2"/>
    <w:rsid w:val="00813826"/>
    <w:rsid w:val="00815377"/>
    <w:rsid w:val="00816C30"/>
    <w:rsid w:val="008170EA"/>
    <w:rsid w:val="008176C1"/>
    <w:rsid w:val="0082073A"/>
    <w:rsid w:val="00822707"/>
    <w:rsid w:val="0082282F"/>
    <w:rsid w:val="00822A10"/>
    <w:rsid w:val="008237A9"/>
    <w:rsid w:val="00823AA4"/>
    <w:rsid w:val="00824B2E"/>
    <w:rsid w:val="00824C1B"/>
    <w:rsid w:val="0082697F"/>
    <w:rsid w:val="00830073"/>
    <w:rsid w:val="00831388"/>
    <w:rsid w:val="00831C91"/>
    <w:rsid w:val="00832231"/>
    <w:rsid w:val="008332B6"/>
    <w:rsid w:val="00833D1A"/>
    <w:rsid w:val="00833FB7"/>
    <w:rsid w:val="008341C0"/>
    <w:rsid w:val="00834517"/>
    <w:rsid w:val="0083549C"/>
    <w:rsid w:val="00835D17"/>
    <w:rsid w:val="008362D1"/>
    <w:rsid w:val="00836EFF"/>
    <w:rsid w:val="00837D43"/>
    <w:rsid w:val="008406F4"/>
    <w:rsid w:val="008408EE"/>
    <w:rsid w:val="00840E40"/>
    <w:rsid w:val="008410B2"/>
    <w:rsid w:val="00841FB8"/>
    <w:rsid w:val="0084207B"/>
    <w:rsid w:val="00842793"/>
    <w:rsid w:val="00842EA4"/>
    <w:rsid w:val="00843A6E"/>
    <w:rsid w:val="00843B43"/>
    <w:rsid w:val="00843D10"/>
    <w:rsid w:val="00843EC3"/>
    <w:rsid w:val="00844AEE"/>
    <w:rsid w:val="00844CC0"/>
    <w:rsid w:val="00844F49"/>
    <w:rsid w:val="0084529B"/>
    <w:rsid w:val="00846453"/>
    <w:rsid w:val="00846C8A"/>
    <w:rsid w:val="00847692"/>
    <w:rsid w:val="0084791F"/>
    <w:rsid w:val="00851462"/>
    <w:rsid w:val="00851A6B"/>
    <w:rsid w:val="008523C1"/>
    <w:rsid w:val="0085241F"/>
    <w:rsid w:val="008525FD"/>
    <w:rsid w:val="00852D47"/>
    <w:rsid w:val="008538F5"/>
    <w:rsid w:val="00853EBC"/>
    <w:rsid w:val="00854259"/>
    <w:rsid w:val="00855869"/>
    <w:rsid w:val="00855CBB"/>
    <w:rsid w:val="00856414"/>
    <w:rsid w:val="00857B79"/>
    <w:rsid w:val="008600AC"/>
    <w:rsid w:val="00860440"/>
    <w:rsid w:val="00860948"/>
    <w:rsid w:val="00861065"/>
    <w:rsid w:val="00861394"/>
    <w:rsid w:val="00862570"/>
    <w:rsid w:val="00862795"/>
    <w:rsid w:val="008628BC"/>
    <w:rsid w:val="00862B25"/>
    <w:rsid w:val="00862DCA"/>
    <w:rsid w:val="008634F5"/>
    <w:rsid w:val="00863B64"/>
    <w:rsid w:val="00863F36"/>
    <w:rsid w:val="0086481F"/>
    <w:rsid w:val="00864886"/>
    <w:rsid w:val="0086499E"/>
    <w:rsid w:val="00864BEB"/>
    <w:rsid w:val="0086653C"/>
    <w:rsid w:val="008667D3"/>
    <w:rsid w:val="0086680F"/>
    <w:rsid w:val="00867389"/>
    <w:rsid w:val="00867F6A"/>
    <w:rsid w:val="0087010D"/>
    <w:rsid w:val="00870BE2"/>
    <w:rsid w:val="00871082"/>
    <w:rsid w:val="008719F3"/>
    <w:rsid w:val="00874095"/>
    <w:rsid w:val="00874DB9"/>
    <w:rsid w:val="00875B02"/>
    <w:rsid w:val="00875D91"/>
    <w:rsid w:val="008772C5"/>
    <w:rsid w:val="00877F89"/>
    <w:rsid w:val="00880475"/>
    <w:rsid w:val="008810AF"/>
    <w:rsid w:val="00881D3E"/>
    <w:rsid w:val="008825E4"/>
    <w:rsid w:val="00882BC9"/>
    <w:rsid w:val="00884710"/>
    <w:rsid w:val="008848D5"/>
    <w:rsid w:val="00884D8E"/>
    <w:rsid w:val="00885229"/>
    <w:rsid w:val="00885DF1"/>
    <w:rsid w:val="00886D58"/>
    <w:rsid w:val="00892A48"/>
    <w:rsid w:val="00892BEE"/>
    <w:rsid w:val="00892EE3"/>
    <w:rsid w:val="00893EDA"/>
    <w:rsid w:val="0089418A"/>
    <w:rsid w:val="008945C9"/>
    <w:rsid w:val="008949E4"/>
    <w:rsid w:val="0089505E"/>
    <w:rsid w:val="0089641C"/>
    <w:rsid w:val="0089684C"/>
    <w:rsid w:val="008978B6"/>
    <w:rsid w:val="00897EE2"/>
    <w:rsid w:val="008A0223"/>
    <w:rsid w:val="008A08EC"/>
    <w:rsid w:val="008A0EF7"/>
    <w:rsid w:val="008A204D"/>
    <w:rsid w:val="008A2CC2"/>
    <w:rsid w:val="008A7E79"/>
    <w:rsid w:val="008B02A3"/>
    <w:rsid w:val="008B061A"/>
    <w:rsid w:val="008B2137"/>
    <w:rsid w:val="008B3E90"/>
    <w:rsid w:val="008B4E66"/>
    <w:rsid w:val="008B5413"/>
    <w:rsid w:val="008B57D5"/>
    <w:rsid w:val="008B5EE5"/>
    <w:rsid w:val="008B6F97"/>
    <w:rsid w:val="008B75F9"/>
    <w:rsid w:val="008C18DA"/>
    <w:rsid w:val="008C2673"/>
    <w:rsid w:val="008C2CD0"/>
    <w:rsid w:val="008C2D25"/>
    <w:rsid w:val="008C2D2B"/>
    <w:rsid w:val="008C2F45"/>
    <w:rsid w:val="008C3797"/>
    <w:rsid w:val="008C4431"/>
    <w:rsid w:val="008C45CE"/>
    <w:rsid w:val="008C521F"/>
    <w:rsid w:val="008C5D69"/>
    <w:rsid w:val="008C716D"/>
    <w:rsid w:val="008C72C7"/>
    <w:rsid w:val="008C7441"/>
    <w:rsid w:val="008D025C"/>
    <w:rsid w:val="008D0C51"/>
    <w:rsid w:val="008D0EEE"/>
    <w:rsid w:val="008D108F"/>
    <w:rsid w:val="008D2BEA"/>
    <w:rsid w:val="008D37A2"/>
    <w:rsid w:val="008D3DB7"/>
    <w:rsid w:val="008D4253"/>
    <w:rsid w:val="008D4F0C"/>
    <w:rsid w:val="008D51C2"/>
    <w:rsid w:val="008D61E3"/>
    <w:rsid w:val="008D6641"/>
    <w:rsid w:val="008D6C56"/>
    <w:rsid w:val="008D7393"/>
    <w:rsid w:val="008D792B"/>
    <w:rsid w:val="008E0C84"/>
    <w:rsid w:val="008E0DBC"/>
    <w:rsid w:val="008E3432"/>
    <w:rsid w:val="008E39AB"/>
    <w:rsid w:val="008E42BB"/>
    <w:rsid w:val="008E47AD"/>
    <w:rsid w:val="008E580E"/>
    <w:rsid w:val="008E6007"/>
    <w:rsid w:val="008E7023"/>
    <w:rsid w:val="008E774B"/>
    <w:rsid w:val="008E7849"/>
    <w:rsid w:val="008E7DB4"/>
    <w:rsid w:val="008F05AE"/>
    <w:rsid w:val="008F0BF3"/>
    <w:rsid w:val="008F0D47"/>
    <w:rsid w:val="008F1303"/>
    <w:rsid w:val="008F1B34"/>
    <w:rsid w:val="008F26C2"/>
    <w:rsid w:val="008F2998"/>
    <w:rsid w:val="008F2E18"/>
    <w:rsid w:val="008F5D54"/>
    <w:rsid w:val="008F6308"/>
    <w:rsid w:val="00902A77"/>
    <w:rsid w:val="0090367E"/>
    <w:rsid w:val="00903C2C"/>
    <w:rsid w:val="00903CAD"/>
    <w:rsid w:val="0090445B"/>
    <w:rsid w:val="009046E6"/>
    <w:rsid w:val="00904A9E"/>
    <w:rsid w:val="00904C75"/>
    <w:rsid w:val="00904DF6"/>
    <w:rsid w:val="009054B5"/>
    <w:rsid w:val="0090667C"/>
    <w:rsid w:val="00910915"/>
    <w:rsid w:val="00911374"/>
    <w:rsid w:val="009122AD"/>
    <w:rsid w:val="009124DD"/>
    <w:rsid w:val="00912CE2"/>
    <w:rsid w:val="00913094"/>
    <w:rsid w:val="00913860"/>
    <w:rsid w:val="00913FE6"/>
    <w:rsid w:val="00914F07"/>
    <w:rsid w:val="00915B94"/>
    <w:rsid w:val="009177BD"/>
    <w:rsid w:val="0092097E"/>
    <w:rsid w:val="00920B87"/>
    <w:rsid w:val="00921D65"/>
    <w:rsid w:val="00921D6B"/>
    <w:rsid w:val="00921D87"/>
    <w:rsid w:val="00922D63"/>
    <w:rsid w:val="00923159"/>
    <w:rsid w:val="0092315A"/>
    <w:rsid w:val="0092412F"/>
    <w:rsid w:val="00924575"/>
    <w:rsid w:val="00924D51"/>
    <w:rsid w:val="00925418"/>
    <w:rsid w:val="009254EA"/>
    <w:rsid w:val="00925E01"/>
    <w:rsid w:val="00926824"/>
    <w:rsid w:val="00926964"/>
    <w:rsid w:val="0092737C"/>
    <w:rsid w:val="00930049"/>
    <w:rsid w:val="009302DA"/>
    <w:rsid w:val="00931395"/>
    <w:rsid w:val="00931934"/>
    <w:rsid w:val="0093228A"/>
    <w:rsid w:val="00932B08"/>
    <w:rsid w:val="009332C2"/>
    <w:rsid w:val="009342B3"/>
    <w:rsid w:val="00935965"/>
    <w:rsid w:val="009362CF"/>
    <w:rsid w:val="009374EB"/>
    <w:rsid w:val="0093797E"/>
    <w:rsid w:val="00940C4E"/>
    <w:rsid w:val="00941052"/>
    <w:rsid w:val="00942194"/>
    <w:rsid w:val="0094312E"/>
    <w:rsid w:val="0094480C"/>
    <w:rsid w:val="00944973"/>
    <w:rsid w:val="009449DD"/>
    <w:rsid w:val="00945666"/>
    <w:rsid w:val="00946253"/>
    <w:rsid w:val="00946CFE"/>
    <w:rsid w:val="00947856"/>
    <w:rsid w:val="00947BCD"/>
    <w:rsid w:val="0095108F"/>
    <w:rsid w:val="00951186"/>
    <w:rsid w:val="00951A4A"/>
    <w:rsid w:val="009524F4"/>
    <w:rsid w:val="00952AFD"/>
    <w:rsid w:val="00953138"/>
    <w:rsid w:val="009537FE"/>
    <w:rsid w:val="00953A58"/>
    <w:rsid w:val="00954027"/>
    <w:rsid w:val="00954816"/>
    <w:rsid w:val="00954D1C"/>
    <w:rsid w:val="00955213"/>
    <w:rsid w:val="009556B1"/>
    <w:rsid w:val="00955B7E"/>
    <w:rsid w:val="00956746"/>
    <w:rsid w:val="009572BE"/>
    <w:rsid w:val="00957F15"/>
    <w:rsid w:val="00960053"/>
    <w:rsid w:val="00960418"/>
    <w:rsid w:val="00962556"/>
    <w:rsid w:val="00962803"/>
    <w:rsid w:val="00962E35"/>
    <w:rsid w:val="00963514"/>
    <w:rsid w:val="00963B7D"/>
    <w:rsid w:val="009640B3"/>
    <w:rsid w:val="0097363C"/>
    <w:rsid w:val="009744A8"/>
    <w:rsid w:val="009746B0"/>
    <w:rsid w:val="00975E55"/>
    <w:rsid w:val="00976C46"/>
    <w:rsid w:val="0097719B"/>
    <w:rsid w:val="00977C6D"/>
    <w:rsid w:val="00980276"/>
    <w:rsid w:val="009805B1"/>
    <w:rsid w:val="00981AEE"/>
    <w:rsid w:val="0098237E"/>
    <w:rsid w:val="00984C27"/>
    <w:rsid w:val="00984C8E"/>
    <w:rsid w:val="00984DAD"/>
    <w:rsid w:val="00985817"/>
    <w:rsid w:val="00986200"/>
    <w:rsid w:val="00986622"/>
    <w:rsid w:val="009874B3"/>
    <w:rsid w:val="009879B6"/>
    <w:rsid w:val="00987C5F"/>
    <w:rsid w:val="00990628"/>
    <w:rsid w:val="009911E8"/>
    <w:rsid w:val="00991E73"/>
    <w:rsid w:val="00992B2E"/>
    <w:rsid w:val="00992DEE"/>
    <w:rsid w:val="00993888"/>
    <w:rsid w:val="009941B5"/>
    <w:rsid w:val="00994FDC"/>
    <w:rsid w:val="00995F33"/>
    <w:rsid w:val="00995F63"/>
    <w:rsid w:val="0099749A"/>
    <w:rsid w:val="009975A1"/>
    <w:rsid w:val="00997FBA"/>
    <w:rsid w:val="009A1C28"/>
    <w:rsid w:val="009A1F51"/>
    <w:rsid w:val="009A217C"/>
    <w:rsid w:val="009A2BF0"/>
    <w:rsid w:val="009A3342"/>
    <w:rsid w:val="009A3488"/>
    <w:rsid w:val="009A34D8"/>
    <w:rsid w:val="009A3507"/>
    <w:rsid w:val="009A43B2"/>
    <w:rsid w:val="009A48C6"/>
    <w:rsid w:val="009A5283"/>
    <w:rsid w:val="009A5489"/>
    <w:rsid w:val="009A5784"/>
    <w:rsid w:val="009A6362"/>
    <w:rsid w:val="009A678A"/>
    <w:rsid w:val="009A67FC"/>
    <w:rsid w:val="009A7A69"/>
    <w:rsid w:val="009B00DF"/>
    <w:rsid w:val="009B0912"/>
    <w:rsid w:val="009B093B"/>
    <w:rsid w:val="009B15A4"/>
    <w:rsid w:val="009B2003"/>
    <w:rsid w:val="009B2808"/>
    <w:rsid w:val="009B3E66"/>
    <w:rsid w:val="009B4194"/>
    <w:rsid w:val="009B5334"/>
    <w:rsid w:val="009B66E1"/>
    <w:rsid w:val="009B6AD7"/>
    <w:rsid w:val="009B6BFD"/>
    <w:rsid w:val="009B6F65"/>
    <w:rsid w:val="009B720E"/>
    <w:rsid w:val="009B7262"/>
    <w:rsid w:val="009B7497"/>
    <w:rsid w:val="009B7899"/>
    <w:rsid w:val="009C042E"/>
    <w:rsid w:val="009C0885"/>
    <w:rsid w:val="009C15D0"/>
    <w:rsid w:val="009C1618"/>
    <w:rsid w:val="009C1622"/>
    <w:rsid w:val="009C1A87"/>
    <w:rsid w:val="009C1DB3"/>
    <w:rsid w:val="009C2032"/>
    <w:rsid w:val="009C2125"/>
    <w:rsid w:val="009C2A0E"/>
    <w:rsid w:val="009C2EFF"/>
    <w:rsid w:val="009C36BC"/>
    <w:rsid w:val="009C41E4"/>
    <w:rsid w:val="009C4689"/>
    <w:rsid w:val="009C4DB0"/>
    <w:rsid w:val="009C5412"/>
    <w:rsid w:val="009C5C9E"/>
    <w:rsid w:val="009C7FEA"/>
    <w:rsid w:val="009D0350"/>
    <w:rsid w:val="009D04AB"/>
    <w:rsid w:val="009D0B91"/>
    <w:rsid w:val="009D1CBB"/>
    <w:rsid w:val="009D29C6"/>
    <w:rsid w:val="009D2F28"/>
    <w:rsid w:val="009D56B7"/>
    <w:rsid w:val="009D5F5D"/>
    <w:rsid w:val="009D68AF"/>
    <w:rsid w:val="009D72FA"/>
    <w:rsid w:val="009D74D0"/>
    <w:rsid w:val="009D796D"/>
    <w:rsid w:val="009D7A40"/>
    <w:rsid w:val="009E062A"/>
    <w:rsid w:val="009E073F"/>
    <w:rsid w:val="009E0B67"/>
    <w:rsid w:val="009E102F"/>
    <w:rsid w:val="009E252E"/>
    <w:rsid w:val="009E29B8"/>
    <w:rsid w:val="009E334E"/>
    <w:rsid w:val="009E4871"/>
    <w:rsid w:val="009E487B"/>
    <w:rsid w:val="009E61DE"/>
    <w:rsid w:val="009E6569"/>
    <w:rsid w:val="009E711F"/>
    <w:rsid w:val="009E7E6F"/>
    <w:rsid w:val="009F073A"/>
    <w:rsid w:val="009F1DB9"/>
    <w:rsid w:val="009F2256"/>
    <w:rsid w:val="009F22F2"/>
    <w:rsid w:val="009F3287"/>
    <w:rsid w:val="009F47B9"/>
    <w:rsid w:val="009F4C04"/>
    <w:rsid w:val="009F51D0"/>
    <w:rsid w:val="009F5652"/>
    <w:rsid w:val="009F5E59"/>
    <w:rsid w:val="009F70BC"/>
    <w:rsid w:val="009F7B0C"/>
    <w:rsid w:val="009F7D94"/>
    <w:rsid w:val="00A00779"/>
    <w:rsid w:val="00A01EE9"/>
    <w:rsid w:val="00A020CF"/>
    <w:rsid w:val="00A02292"/>
    <w:rsid w:val="00A02405"/>
    <w:rsid w:val="00A02C7B"/>
    <w:rsid w:val="00A035CB"/>
    <w:rsid w:val="00A0397A"/>
    <w:rsid w:val="00A03D58"/>
    <w:rsid w:val="00A04045"/>
    <w:rsid w:val="00A043F5"/>
    <w:rsid w:val="00A04BEC"/>
    <w:rsid w:val="00A051DB"/>
    <w:rsid w:val="00A05866"/>
    <w:rsid w:val="00A05D52"/>
    <w:rsid w:val="00A05EBF"/>
    <w:rsid w:val="00A0611C"/>
    <w:rsid w:val="00A064A0"/>
    <w:rsid w:val="00A11227"/>
    <w:rsid w:val="00A11520"/>
    <w:rsid w:val="00A11943"/>
    <w:rsid w:val="00A125FD"/>
    <w:rsid w:val="00A130DA"/>
    <w:rsid w:val="00A139A7"/>
    <w:rsid w:val="00A14F06"/>
    <w:rsid w:val="00A150B3"/>
    <w:rsid w:val="00A15F55"/>
    <w:rsid w:val="00A15F75"/>
    <w:rsid w:val="00A16ADB"/>
    <w:rsid w:val="00A173A9"/>
    <w:rsid w:val="00A1743C"/>
    <w:rsid w:val="00A1765E"/>
    <w:rsid w:val="00A17C8B"/>
    <w:rsid w:val="00A20A1E"/>
    <w:rsid w:val="00A20FF6"/>
    <w:rsid w:val="00A21129"/>
    <w:rsid w:val="00A21359"/>
    <w:rsid w:val="00A21E41"/>
    <w:rsid w:val="00A22259"/>
    <w:rsid w:val="00A224FF"/>
    <w:rsid w:val="00A229E1"/>
    <w:rsid w:val="00A22FF9"/>
    <w:rsid w:val="00A23BD5"/>
    <w:rsid w:val="00A23E58"/>
    <w:rsid w:val="00A2468A"/>
    <w:rsid w:val="00A25A78"/>
    <w:rsid w:val="00A26DFB"/>
    <w:rsid w:val="00A270A8"/>
    <w:rsid w:val="00A30BAA"/>
    <w:rsid w:val="00A31176"/>
    <w:rsid w:val="00A314F0"/>
    <w:rsid w:val="00A31675"/>
    <w:rsid w:val="00A3170C"/>
    <w:rsid w:val="00A31847"/>
    <w:rsid w:val="00A32B3A"/>
    <w:rsid w:val="00A33C22"/>
    <w:rsid w:val="00A34466"/>
    <w:rsid w:val="00A34A8F"/>
    <w:rsid w:val="00A34E55"/>
    <w:rsid w:val="00A34F14"/>
    <w:rsid w:val="00A357D1"/>
    <w:rsid w:val="00A35C77"/>
    <w:rsid w:val="00A35E84"/>
    <w:rsid w:val="00A3787B"/>
    <w:rsid w:val="00A37F93"/>
    <w:rsid w:val="00A401F3"/>
    <w:rsid w:val="00A40C4D"/>
    <w:rsid w:val="00A40F30"/>
    <w:rsid w:val="00A4154D"/>
    <w:rsid w:val="00A41795"/>
    <w:rsid w:val="00A41DD0"/>
    <w:rsid w:val="00A42138"/>
    <w:rsid w:val="00A434DA"/>
    <w:rsid w:val="00A451ED"/>
    <w:rsid w:val="00A457B5"/>
    <w:rsid w:val="00A4733E"/>
    <w:rsid w:val="00A473D2"/>
    <w:rsid w:val="00A478C9"/>
    <w:rsid w:val="00A4796F"/>
    <w:rsid w:val="00A50F98"/>
    <w:rsid w:val="00A51B76"/>
    <w:rsid w:val="00A5204B"/>
    <w:rsid w:val="00A521FF"/>
    <w:rsid w:val="00A5366E"/>
    <w:rsid w:val="00A53B8B"/>
    <w:rsid w:val="00A54F1B"/>
    <w:rsid w:val="00A55B1F"/>
    <w:rsid w:val="00A56B21"/>
    <w:rsid w:val="00A5736E"/>
    <w:rsid w:val="00A57450"/>
    <w:rsid w:val="00A578C7"/>
    <w:rsid w:val="00A603AE"/>
    <w:rsid w:val="00A60664"/>
    <w:rsid w:val="00A606AE"/>
    <w:rsid w:val="00A60A6C"/>
    <w:rsid w:val="00A618ED"/>
    <w:rsid w:val="00A625FE"/>
    <w:rsid w:val="00A62DAF"/>
    <w:rsid w:val="00A62E24"/>
    <w:rsid w:val="00A63BBD"/>
    <w:rsid w:val="00A649F1"/>
    <w:rsid w:val="00A64CB6"/>
    <w:rsid w:val="00A650A8"/>
    <w:rsid w:val="00A667D5"/>
    <w:rsid w:val="00A70B80"/>
    <w:rsid w:val="00A70C83"/>
    <w:rsid w:val="00A70FEB"/>
    <w:rsid w:val="00A7239F"/>
    <w:rsid w:val="00A729D1"/>
    <w:rsid w:val="00A72EA5"/>
    <w:rsid w:val="00A74291"/>
    <w:rsid w:val="00A74E88"/>
    <w:rsid w:val="00A74E95"/>
    <w:rsid w:val="00A75270"/>
    <w:rsid w:val="00A75A9E"/>
    <w:rsid w:val="00A760E4"/>
    <w:rsid w:val="00A766EF"/>
    <w:rsid w:val="00A776DB"/>
    <w:rsid w:val="00A777EA"/>
    <w:rsid w:val="00A7792A"/>
    <w:rsid w:val="00A77D8A"/>
    <w:rsid w:val="00A8035B"/>
    <w:rsid w:val="00A8110E"/>
    <w:rsid w:val="00A832F5"/>
    <w:rsid w:val="00A8352F"/>
    <w:rsid w:val="00A84815"/>
    <w:rsid w:val="00A84B2E"/>
    <w:rsid w:val="00A84F11"/>
    <w:rsid w:val="00A8543D"/>
    <w:rsid w:val="00A8565A"/>
    <w:rsid w:val="00A85DD2"/>
    <w:rsid w:val="00A86243"/>
    <w:rsid w:val="00A87800"/>
    <w:rsid w:val="00A87875"/>
    <w:rsid w:val="00A87C35"/>
    <w:rsid w:val="00A87F65"/>
    <w:rsid w:val="00A87FD9"/>
    <w:rsid w:val="00A91796"/>
    <w:rsid w:val="00A9226E"/>
    <w:rsid w:val="00A9298B"/>
    <w:rsid w:val="00A93E32"/>
    <w:rsid w:val="00A9531B"/>
    <w:rsid w:val="00A95497"/>
    <w:rsid w:val="00A956EA"/>
    <w:rsid w:val="00AA070C"/>
    <w:rsid w:val="00AA125A"/>
    <w:rsid w:val="00AA1A7E"/>
    <w:rsid w:val="00AA1C6C"/>
    <w:rsid w:val="00AA23FE"/>
    <w:rsid w:val="00AA3097"/>
    <w:rsid w:val="00AA38C4"/>
    <w:rsid w:val="00AA3B5F"/>
    <w:rsid w:val="00AA44D3"/>
    <w:rsid w:val="00AA4783"/>
    <w:rsid w:val="00AA63D0"/>
    <w:rsid w:val="00AA67BE"/>
    <w:rsid w:val="00AA6F23"/>
    <w:rsid w:val="00AB0306"/>
    <w:rsid w:val="00AB055A"/>
    <w:rsid w:val="00AB060E"/>
    <w:rsid w:val="00AB07CB"/>
    <w:rsid w:val="00AB1227"/>
    <w:rsid w:val="00AB39D7"/>
    <w:rsid w:val="00AB3A97"/>
    <w:rsid w:val="00AB48C3"/>
    <w:rsid w:val="00AB519D"/>
    <w:rsid w:val="00AB51D7"/>
    <w:rsid w:val="00AB5279"/>
    <w:rsid w:val="00AB5D01"/>
    <w:rsid w:val="00AB5E8C"/>
    <w:rsid w:val="00AB639C"/>
    <w:rsid w:val="00AB6A2C"/>
    <w:rsid w:val="00AC0155"/>
    <w:rsid w:val="00AC01E5"/>
    <w:rsid w:val="00AC10C8"/>
    <w:rsid w:val="00AC1CE4"/>
    <w:rsid w:val="00AC23BE"/>
    <w:rsid w:val="00AC261B"/>
    <w:rsid w:val="00AC2823"/>
    <w:rsid w:val="00AC28BB"/>
    <w:rsid w:val="00AC3061"/>
    <w:rsid w:val="00AC316A"/>
    <w:rsid w:val="00AC36DE"/>
    <w:rsid w:val="00AC3A12"/>
    <w:rsid w:val="00AC3EA2"/>
    <w:rsid w:val="00AC47CF"/>
    <w:rsid w:val="00AC482B"/>
    <w:rsid w:val="00AC5A67"/>
    <w:rsid w:val="00AC68D8"/>
    <w:rsid w:val="00AC7157"/>
    <w:rsid w:val="00AC7B99"/>
    <w:rsid w:val="00AD0C69"/>
    <w:rsid w:val="00AD0C8A"/>
    <w:rsid w:val="00AD11E9"/>
    <w:rsid w:val="00AD1569"/>
    <w:rsid w:val="00AD197D"/>
    <w:rsid w:val="00AD1CCF"/>
    <w:rsid w:val="00AD247E"/>
    <w:rsid w:val="00AD249D"/>
    <w:rsid w:val="00AD2D1F"/>
    <w:rsid w:val="00AD3057"/>
    <w:rsid w:val="00AD34AA"/>
    <w:rsid w:val="00AD3516"/>
    <w:rsid w:val="00AD36F3"/>
    <w:rsid w:val="00AD3CA1"/>
    <w:rsid w:val="00AD3FD4"/>
    <w:rsid w:val="00AD4526"/>
    <w:rsid w:val="00AE0B9D"/>
    <w:rsid w:val="00AE1325"/>
    <w:rsid w:val="00AE1659"/>
    <w:rsid w:val="00AE1BDE"/>
    <w:rsid w:val="00AE3789"/>
    <w:rsid w:val="00AE47A8"/>
    <w:rsid w:val="00AE5961"/>
    <w:rsid w:val="00AE764B"/>
    <w:rsid w:val="00AF1C31"/>
    <w:rsid w:val="00AF2157"/>
    <w:rsid w:val="00AF25DE"/>
    <w:rsid w:val="00AF28D4"/>
    <w:rsid w:val="00AF3F78"/>
    <w:rsid w:val="00AF45B2"/>
    <w:rsid w:val="00AF5465"/>
    <w:rsid w:val="00AF5E18"/>
    <w:rsid w:val="00AF5E5E"/>
    <w:rsid w:val="00AF6172"/>
    <w:rsid w:val="00AF724D"/>
    <w:rsid w:val="00B00653"/>
    <w:rsid w:val="00B008BC"/>
    <w:rsid w:val="00B00997"/>
    <w:rsid w:val="00B028BA"/>
    <w:rsid w:val="00B02F9B"/>
    <w:rsid w:val="00B04AD8"/>
    <w:rsid w:val="00B05ECB"/>
    <w:rsid w:val="00B05ED9"/>
    <w:rsid w:val="00B067ED"/>
    <w:rsid w:val="00B068B3"/>
    <w:rsid w:val="00B07980"/>
    <w:rsid w:val="00B10AED"/>
    <w:rsid w:val="00B11D29"/>
    <w:rsid w:val="00B11D8A"/>
    <w:rsid w:val="00B134A6"/>
    <w:rsid w:val="00B134DD"/>
    <w:rsid w:val="00B13AC4"/>
    <w:rsid w:val="00B13D00"/>
    <w:rsid w:val="00B13FEF"/>
    <w:rsid w:val="00B1499E"/>
    <w:rsid w:val="00B14A6F"/>
    <w:rsid w:val="00B153D5"/>
    <w:rsid w:val="00B16213"/>
    <w:rsid w:val="00B16551"/>
    <w:rsid w:val="00B16F6F"/>
    <w:rsid w:val="00B172D5"/>
    <w:rsid w:val="00B20136"/>
    <w:rsid w:val="00B20243"/>
    <w:rsid w:val="00B20B0C"/>
    <w:rsid w:val="00B21373"/>
    <w:rsid w:val="00B21728"/>
    <w:rsid w:val="00B21BEF"/>
    <w:rsid w:val="00B21D6C"/>
    <w:rsid w:val="00B23307"/>
    <w:rsid w:val="00B23527"/>
    <w:rsid w:val="00B23630"/>
    <w:rsid w:val="00B23AA4"/>
    <w:rsid w:val="00B23FB0"/>
    <w:rsid w:val="00B24409"/>
    <w:rsid w:val="00B2453D"/>
    <w:rsid w:val="00B256AB"/>
    <w:rsid w:val="00B27238"/>
    <w:rsid w:val="00B27C98"/>
    <w:rsid w:val="00B300CD"/>
    <w:rsid w:val="00B30412"/>
    <w:rsid w:val="00B3115F"/>
    <w:rsid w:val="00B31943"/>
    <w:rsid w:val="00B31B2B"/>
    <w:rsid w:val="00B323FF"/>
    <w:rsid w:val="00B33183"/>
    <w:rsid w:val="00B33688"/>
    <w:rsid w:val="00B339D2"/>
    <w:rsid w:val="00B3489B"/>
    <w:rsid w:val="00B34BA3"/>
    <w:rsid w:val="00B355D4"/>
    <w:rsid w:val="00B3717F"/>
    <w:rsid w:val="00B37D13"/>
    <w:rsid w:val="00B40187"/>
    <w:rsid w:val="00B41160"/>
    <w:rsid w:val="00B412FE"/>
    <w:rsid w:val="00B419DD"/>
    <w:rsid w:val="00B41AFA"/>
    <w:rsid w:val="00B4239E"/>
    <w:rsid w:val="00B426DA"/>
    <w:rsid w:val="00B43D73"/>
    <w:rsid w:val="00B468D2"/>
    <w:rsid w:val="00B46932"/>
    <w:rsid w:val="00B46FFA"/>
    <w:rsid w:val="00B478E8"/>
    <w:rsid w:val="00B522F3"/>
    <w:rsid w:val="00B527F7"/>
    <w:rsid w:val="00B5339B"/>
    <w:rsid w:val="00B54351"/>
    <w:rsid w:val="00B55ADA"/>
    <w:rsid w:val="00B55E25"/>
    <w:rsid w:val="00B56499"/>
    <w:rsid w:val="00B57A21"/>
    <w:rsid w:val="00B57B81"/>
    <w:rsid w:val="00B6072B"/>
    <w:rsid w:val="00B61208"/>
    <w:rsid w:val="00B614EE"/>
    <w:rsid w:val="00B617DD"/>
    <w:rsid w:val="00B61837"/>
    <w:rsid w:val="00B619BF"/>
    <w:rsid w:val="00B61C52"/>
    <w:rsid w:val="00B6232F"/>
    <w:rsid w:val="00B629D1"/>
    <w:rsid w:val="00B633AD"/>
    <w:rsid w:val="00B6434E"/>
    <w:rsid w:val="00B64A95"/>
    <w:rsid w:val="00B64EF0"/>
    <w:rsid w:val="00B6531E"/>
    <w:rsid w:val="00B65F88"/>
    <w:rsid w:val="00B679B2"/>
    <w:rsid w:val="00B70574"/>
    <w:rsid w:val="00B70B11"/>
    <w:rsid w:val="00B71B68"/>
    <w:rsid w:val="00B73D52"/>
    <w:rsid w:val="00B754DA"/>
    <w:rsid w:val="00B75560"/>
    <w:rsid w:val="00B75CF9"/>
    <w:rsid w:val="00B775CE"/>
    <w:rsid w:val="00B77B3E"/>
    <w:rsid w:val="00B80475"/>
    <w:rsid w:val="00B8071C"/>
    <w:rsid w:val="00B80AC5"/>
    <w:rsid w:val="00B80E94"/>
    <w:rsid w:val="00B822D1"/>
    <w:rsid w:val="00B82F26"/>
    <w:rsid w:val="00B847E4"/>
    <w:rsid w:val="00B84BA4"/>
    <w:rsid w:val="00B8572C"/>
    <w:rsid w:val="00B871DB"/>
    <w:rsid w:val="00B87589"/>
    <w:rsid w:val="00B87AB4"/>
    <w:rsid w:val="00B904F0"/>
    <w:rsid w:val="00B917D1"/>
    <w:rsid w:val="00B91C53"/>
    <w:rsid w:val="00B920F3"/>
    <w:rsid w:val="00B92204"/>
    <w:rsid w:val="00B92B21"/>
    <w:rsid w:val="00B93BCE"/>
    <w:rsid w:val="00B93E38"/>
    <w:rsid w:val="00B94A94"/>
    <w:rsid w:val="00B94F78"/>
    <w:rsid w:val="00B96659"/>
    <w:rsid w:val="00B972D7"/>
    <w:rsid w:val="00BA07AE"/>
    <w:rsid w:val="00BA0C9C"/>
    <w:rsid w:val="00BA108F"/>
    <w:rsid w:val="00BA2EE4"/>
    <w:rsid w:val="00BA30B0"/>
    <w:rsid w:val="00BA4BB9"/>
    <w:rsid w:val="00BA5E43"/>
    <w:rsid w:val="00BA5EC5"/>
    <w:rsid w:val="00BA6B2F"/>
    <w:rsid w:val="00BA769C"/>
    <w:rsid w:val="00BB042C"/>
    <w:rsid w:val="00BB073E"/>
    <w:rsid w:val="00BB0BCA"/>
    <w:rsid w:val="00BB0E78"/>
    <w:rsid w:val="00BB222F"/>
    <w:rsid w:val="00BB224D"/>
    <w:rsid w:val="00BB363E"/>
    <w:rsid w:val="00BB3A5B"/>
    <w:rsid w:val="00BB4649"/>
    <w:rsid w:val="00BB523D"/>
    <w:rsid w:val="00BB5DD9"/>
    <w:rsid w:val="00BB6355"/>
    <w:rsid w:val="00BB6B9B"/>
    <w:rsid w:val="00BB6CEE"/>
    <w:rsid w:val="00BB6EAD"/>
    <w:rsid w:val="00BB7340"/>
    <w:rsid w:val="00BB7370"/>
    <w:rsid w:val="00BC0196"/>
    <w:rsid w:val="00BC321E"/>
    <w:rsid w:val="00BC3612"/>
    <w:rsid w:val="00BC5305"/>
    <w:rsid w:val="00BC5373"/>
    <w:rsid w:val="00BC5A75"/>
    <w:rsid w:val="00BC6F66"/>
    <w:rsid w:val="00BC71C7"/>
    <w:rsid w:val="00BC7B23"/>
    <w:rsid w:val="00BD068C"/>
    <w:rsid w:val="00BD0DDC"/>
    <w:rsid w:val="00BD0FF3"/>
    <w:rsid w:val="00BD1BB4"/>
    <w:rsid w:val="00BD27C9"/>
    <w:rsid w:val="00BD334F"/>
    <w:rsid w:val="00BD3BDC"/>
    <w:rsid w:val="00BD3C9D"/>
    <w:rsid w:val="00BD5698"/>
    <w:rsid w:val="00BD5705"/>
    <w:rsid w:val="00BD5B4A"/>
    <w:rsid w:val="00BD5CE3"/>
    <w:rsid w:val="00BD654D"/>
    <w:rsid w:val="00BD6E2F"/>
    <w:rsid w:val="00BD7947"/>
    <w:rsid w:val="00BD7A72"/>
    <w:rsid w:val="00BE0879"/>
    <w:rsid w:val="00BE0A10"/>
    <w:rsid w:val="00BE156E"/>
    <w:rsid w:val="00BE17F6"/>
    <w:rsid w:val="00BE223C"/>
    <w:rsid w:val="00BE2AE4"/>
    <w:rsid w:val="00BE3131"/>
    <w:rsid w:val="00BE3421"/>
    <w:rsid w:val="00BE3C8A"/>
    <w:rsid w:val="00BE5161"/>
    <w:rsid w:val="00BE56DD"/>
    <w:rsid w:val="00BE58A5"/>
    <w:rsid w:val="00BE5E04"/>
    <w:rsid w:val="00BE5FDC"/>
    <w:rsid w:val="00BE619E"/>
    <w:rsid w:val="00BE627C"/>
    <w:rsid w:val="00BE6485"/>
    <w:rsid w:val="00BE6EB3"/>
    <w:rsid w:val="00BE747A"/>
    <w:rsid w:val="00BE790D"/>
    <w:rsid w:val="00BE7CCF"/>
    <w:rsid w:val="00BE7D6C"/>
    <w:rsid w:val="00BF0A06"/>
    <w:rsid w:val="00BF25F3"/>
    <w:rsid w:val="00BF26F2"/>
    <w:rsid w:val="00BF281C"/>
    <w:rsid w:val="00BF38B7"/>
    <w:rsid w:val="00BF3D1A"/>
    <w:rsid w:val="00BF3EAD"/>
    <w:rsid w:val="00BF3F5B"/>
    <w:rsid w:val="00BF43BC"/>
    <w:rsid w:val="00BF4616"/>
    <w:rsid w:val="00BF4B8E"/>
    <w:rsid w:val="00BF5BAB"/>
    <w:rsid w:val="00BF5DA6"/>
    <w:rsid w:val="00BF6C45"/>
    <w:rsid w:val="00C008CF"/>
    <w:rsid w:val="00C00C8E"/>
    <w:rsid w:val="00C014D5"/>
    <w:rsid w:val="00C0175A"/>
    <w:rsid w:val="00C021EB"/>
    <w:rsid w:val="00C02AFE"/>
    <w:rsid w:val="00C049DE"/>
    <w:rsid w:val="00C04A87"/>
    <w:rsid w:val="00C0583B"/>
    <w:rsid w:val="00C05C2B"/>
    <w:rsid w:val="00C0659D"/>
    <w:rsid w:val="00C07765"/>
    <w:rsid w:val="00C07A29"/>
    <w:rsid w:val="00C10611"/>
    <w:rsid w:val="00C113F0"/>
    <w:rsid w:val="00C1149D"/>
    <w:rsid w:val="00C1188C"/>
    <w:rsid w:val="00C12218"/>
    <w:rsid w:val="00C129CB"/>
    <w:rsid w:val="00C136B8"/>
    <w:rsid w:val="00C142B4"/>
    <w:rsid w:val="00C1484F"/>
    <w:rsid w:val="00C148B2"/>
    <w:rsid w:val="00C14B5E"/>
    <w:rsid w:val="00C14CC5"/>
    <w:rsid w:val="00C15295"/>
    <w:rsid w:val="00C15322"/>
    <w:rsid w:val="00C1662D"/>
    <w:rsid w:val="00C16DF0"/>
    <w:rsid w:val="00C1769D"/>
    <w:rsid w:val="00C17791"/>
    <w:rsid w:val="00C179AE"/>
    <w:rsid w:val="00C201A1"/>
    <w:rsid w:val="00C20214"/>
    <w:rsid w:val="00C21755"/>
    <w:rsid w:val="00C22C19"/>
    <w:rsid w:val="00C22F1C"/>
    <w:rsid w:val="00C23AA3"/>
    <w:rsid w:val="00C24B48"/>
    <w:rsid w:val="00C26724"/>
    <w:rsid w:val="00C2722D"/>
    <w:rsid w:val="00C2758F"/>
    <w:rsid w:val="00C27C73"/>
    <w:rsid w:val="00C30AD2"/>
    <w:rsid w:val="00C30E69"/>
    <w:rsid w:val="00C31BF9"/>
    <w:rsid w:val="00C326EE"/>
    <w:rsid w:val="00C34C97"/>
    <w:rsid w:val="00C35D19"/>
    <w:rsid w:val="00C35DBD"/>
    <w:rsid w:val="00C36008"/>
    <w:rsid w:val="00C37283"/>
    <w:rsid w:val="00C4033A"/>
    <w:rsid w:val="00C4080D"/>
    <w:rsid w:val="00C409BE"/>
    <w:rsid w:val="00C41417"/>
    <w:rsid w:val="00C4290A"/>
    <w:rsid w:val="00C4376E"/>
    <w:rsid w:val="00C441EA"/>
    <w:rsid w:val="00C44476"/>
    <w:rsid w:val="00C449D7"/>
    <w:rsid w:val="00C461FC"/>
    <w:rsid w:val="00C4628F"/>
    <w:rsid w:val="00C47287"/>
    <w:rsid w:val="00C47967"/>
    <w:rsid w:val="00C47BDF"/>
    <w:rsid w:val="00C47E46"/>
    <w:rsid w:val="00C50693"/>
    <w:rsid w:val="00C50DB5"/>
    <w:rsid w:val="00C50DCA"/>
    <w:rsid w:val="00C510AA"/>
    <w:rsid w:val="00C541D8"/>
    <w:rsid w:val="00C55218"/>
    <w:rsid w:val="00C57EA2"/>
    <w:rsid w:val="00C60489"/>
    <w:rsid w:val="00C611A6"/>
    <w:rsid w:val="00C61514"/>
    <w:rsid w:val="00C61896"/>
    <w:rsid w:val="00C623A5"/>
    <w:rsid w:val="00C623C9"/>
    <w:rsid w:val="00C63023"/>
    <w:rsid w:val="00C65F14"/>
    <w:rsid w:val="00C66F3B"/>
    <w:rsid w:val="00C71E7B"/>
    <w:rsid w:val="00C7247A"/>
    <w:rsid w:val="00C7436E"/>
    <w:rsid w:val="00C74CF8"/>
    <w:rsid w:val="00C74DE1"/>
    <w:rsid w:val="00C74FF5"/>
    <w:rsid w:val="00C75E71"/>
    <w:rsid w:val="00C75FC2"/>
    <w:rsid w:val="00C76D80"/>
    <w:rsid w:val="00C771FC"/>
    <w:rsid w:val="00C77737"/>
    <w:rsid w:val="00C777B9"/>
    <w:rsid w:val="00C800C3"/>
    <w:rsid w:val="00C8033C"/>
    <w:rsid w:val="00C8083B"/>
    <w:rsid w:val="00C81B14"/>
    <w:rsid w:val="00C823B4"/>
    <w:rsid w:val="00C82E2F"/>
    <w:rsid w:val="00C832E9"/>
    <w:rsid w:val="00C8458F"/>
    <w:rsid w:val="00C84CE3"/>
    <w:rsid w:val="00C87748"/>
    <w:rsid w:val="00C9017B"/>
    <w:rsid w:val="00C912E8"/>
    <w:rsid w:val="00C91618"/>
    <w:rsid w:val="00C9203D"/>
    <w:rsid w:val="00C93197"/>
    <w:rsid w:val="00C93528"/>
    <w:rsid w:val="00C94627"/>
    <w:rsid w:val="00C95042"/>
    <w:rsid w:val="00C95169"/>
    <w:rsid w:val="00C95BC6"/>
    <w:rsid w:val="00C9681A"/>
    <w:rsid w:val="00C96B2E"/>
    <w:rsid w:val="00C97140"/>
    <w:rsid w:val="00C9723B"/>
    <w:rsid w:val="00CA0480"/>
    <w:rsid w:val="00CA04E9"/>
    <w:rsid w:val="00CA106F"/>
    <w:rsid w:val="00CA1C81"/>
    <w:rsid w:val="00CA2BE8"/>
    <w:rsid w:val="00CA30CC"/>
    <w:rsid w:val="00CA4069"/>
    <w:rsid w:val="00CA46FC"/>
    <w:rsid w:val="00CA4904"/>
    <w:rsid w:val="00CA4DF3"/>
    <w:rsid w:val="00CA5727"/>
    <w:rsid w:val="00CA67E3"/>
    <w:rsid w:val="00CA7B67"/>
    <w:rsid w:val="00CB12E9"/>
    <w:rsid w:val="00CB18A4"/>
    <w:rsid w:val="00CB1A45"/>
    <w:rsid w:val="00CB2385"/>
    <w:rsid w:val="00CB2904"/>
    <w:rsid w:val="00CB2B66"/>
    <w:rsid w:val="00CB4764"/>
    <w:rsid w:val="00CB6C9E"/>
    <w:rsid w:val="00CB7316"/>
    <w:rsid w:val="00CB75C9"/>
    <w:rsid w:val="00CB76D5"/>
    <w:rsid w:val="00CB7F0C"/>
    <w:rsid w:val="00CC0134"/>
    <w:rsid w:val="00CC2783"/>
    <w:rsid w:val="00CC2836"/>
    <w:rsid w:val="00CC4344"/>
    <w:rsid w:val="00CC5FFB"/>
    <w:rsid w:val="00CC603C"/>
    <w:rsid w:val="00CC6BB6"/>
    <w:rsid w:val="00CD0103"/>
    <w:rsid w:val="00CD0D08"/>
    <w:rsid w:val="00CD1F2F"/>
    <w:rsid w:val="00CD204B"/>
    <w:rsid w:val="00CD34DE"/>
    <w:rsid w:val="00CD3785"/>
    <w:rsid w:val="00CD4271"/>
    <w:rsid w:val="00CD45FF"/>
    <w:rsid w:val="00CD46E9"/>
    <w:rsid w:val="00CD519F"/>
    <w:rsid w:val="00CD5673"/>
    <w:rsid w:val="00CD62FA"/>
    <w:rsid w:val="00CD69C1"/>
    <w:rsid w:val="00CD74AA"/>
    <w:rsid w:val="00CD7EE4"/>
    <w:rsid w:val="00CD7F5A"/>
    <w:rsid w:val="00CE000D"/>
    <w:rsid w:val="00CE0225"/>
    <w:rsid w:val="00CE02E1"/>
    <w:rsid w:val="00CE051A"/>
    <w:rsid w:val="00CE06BA"/>
    <w:rsid w:val="00CE1498"/>
    <w:rsid w:val="00CE4531"/>
    <w:rsid w:val="00CE458B"/>
    <w:rsid w:val="00CE5655"/>
    <w:rsid w:val="00CE697A"/>
    <w:rsid w:val="00CE6CA7"/>
    <w:rsid w:val="00CE72F9"/>
    <w:rsid w:val="00CE78F8"/>
    <w:rsid w:val="00CF02F4"/>
    <w:rsid w:val="00CF05A2"/>
    <w:rsid w:val="00CF0921"/>
    <w:rsid w:val="00CF0AFA"/>
    <w:rsid w:val="00CF0B13"/>
    <w:rsid w:val="00CF0C3E"/>
    <w:rsid w:val="00CF1A71"/>
    <w:rsid w:val="00CF1E64"/>
    <w:rsid w:val="00CF2BD0"/>
    <w:rsid w:val="00CF2ECD"/>
    <w:rsid w:val="00CF3912"/>
    <w:rsid w:val="00CF4835"/>
    <w:rsid w:val="00CF4CF8"/>
    <w:rsid w:val="00CF5885"/>
    <w:rsid w:val="00CF58E9"/>
    <w:rsid w:val="00CF5E93"/>
    <w:rsid w:val="00CF70D6"/>
    <w:rsid w:val="00D0180E"/>
    <w:rsid w:val="00D02345"/>
    <w:rsid w:val="00D02D28"/>
    <w:rsid w:val="00D03EA6"/>
    <w:rsid w:val="00D04140"/>
    <w:rsid w:val="00D052BE"/>
    <w:rsid w:val="00D05F07"/>
    <w:rsid w:val="00D071B8"/>
    <w:rsid w:val="00D0747A"/>
    <w:rsid w:val="00D0791F"/>
    <w:rsid w:val="00D07F5C"/>
    <w:rsid w:val="00D104DE"/>
    <w:rsid w:val="00D117FB"/>
    <w:rsid w:val="00D1373B"/>
    <w:rsid w:val="00D13AF0"/>
    <w:rsid w:val="00D13E29"/>
    <w:rsid w:val="00D163A4"/>
    <w:rsid w:val="00D16400"/>
    <w:rsid w:val="00D16ADD"/>
    <w:rsid w:val="00D1737E"/>
    <w:rsid w:val="00D1739A"/>
    <w:rsid w:val="00D17493"/>
    <w:rsid w:val="00D20017"/>
    <w:rsid w:val="00D204C1"/>
    <w:rsid w:val="00D204E2"/>
    <w:rsid w:val="00D21AF6"/>
    <w:rsid w:val="00D22EEC"/>
    <w:rsid w:val="00D2326D"/>
    <w:rsid w:val="00D238AB"/>
    <w:rsid w:val="00D2400F"/>
    <w:rsid w:val="00D24AEB"/>
    <w:rsid w:val="00D25662"/>
    <w:rsid w:val="00D26F33"/>
    <w:rsid w:val="00D273AB"/>
    <w:rsid w:val="00D3024A"/>
    <w:rsid w:val="00D30290"/>
    <w:rsid w:val="00D306DD"/>
    <w:rsid w:val="00D3160E"/>
    <w:rsid w:val="00D31D3D"/>
    <w:rsid w:val="00D33E9C"/>
    <w:rsid w:val="00D342A9"/>
    <w:rsid w:val="00D348C3"/>
    <w:rsid w:val="00D35C02"/>
    <w:rsid w:val="00D36FBF"/>
    <w:rsid w:val="00D407B9"/>
    <w:rsid w:val="00D40E74"/>
    <w:rsid w:val="00D40E76"/>
    <w:rsid w:val="00D41087"/>
    <w:rsid w:val="00D41881"/>
    <w:rsid w:val="00D42504"/>
    <w:rsid w:val="00D427DE"/>
    <w:rsid w:val="00D42E96"/>
    <w:rsid w:val="00D431EC"/>
    <w:rsid w:val="00D43855"/>
    <w:rsid w:val="00D43A49"/>
    <w:rsid w:val="00D44374"/>
    <w:rsid w:val="00D44B44"/>
    <w:rsid w:val="00D45DCE"/>
    <w:rsid w:val="00D46001"/>
    <w:rsid w:val="00D4774D"/>
    <w:rsid w:val="00D4781E"/>
    <w:rsid w:val="00D5044C"/>
    <w:rsid w:val="00D50518"/>
    <w:rsid w:val="00D52246"/>
    <w:rsid w:val="00D52331"/>
    <w:rsid w:val="00D52B8D"/>
    <w:rsid w:val="00D53410"/>
    <w:rsid w:val="00D53CE6"/>
    <w:rsid w:val="00D53E19"/>
    <w:rsid w:val="00D54308"/>
    <w:rsid w:val="00D5574C"/>
    <w:rsid w:val="00D57590"/>
    <w:rsid w:val="00D57801"/>
    <w:rsid w:val="00D613F5"/>
    <w:rsid w:val="00D61453"/>
    <w:rsid w:val="00D615F6"/>
    <w:rsid w:val="00D62B94"/>
    <w:rsid w:val="00D62E66"/>
    <w:rsid w:val="00D63067"/>
    <w:rsid w:val="00D63387"/>
    <w:rsid w:val="00D646F5"/>
    <w:rsid w:val="00D65117"/>
    <w:rsid w:val="00D67997"/>
    <w:rsid w:val="00D7053B"/>
    <w:rsid w:val="00D70EF3"/>
    <w:rsid w:val="00D71715"/>
    <w:rsid w:val="00D71AB0"/>
    <w:rsid w:val="00D72863"/>
    <w:rsid w:val="00D72997"/>
    <w:rsid w:val="00D73327"/>
    <w:rsid w:val="00D7372C"/>
    <w:rsid w:val="00D73A53"/>
    <w:rsid w:val="00D748DC"/>
    <w:rsid w:val="00D75F34"/>
    <w:rsid w:val="00D770CC"/>
    <w:rsid w:val="00D77654"/>
    <w:rsid w:val="00D80409"/>
    <w:rsid w:val="00D80D75"/>
    <w:rsid w:val="00D81A5C"/>
    <w:rsid w:val="00D83FA3"/>
    <w:rsid w:val="00D8534E"/>
    <w:rsid w:val="00D85F5B"/>
    <w:rsid w:val="00D86422"/>
    <w:rsid w:val="00D86945"/>
    <w:rsid w:val="00D86D07"/>
    <w:rsid w:val="00D86F2D"/>
    <w:rsid w:val="00D87806"/>
    <w:rsid w:val="00D879F1"/>
    <w:rsid w:val="00D90B1C"/>
    <w:rsid w:val="00D9179D"/>
    <w:rsid w:val="00D921E1"/>
    <w:rsid w:val="00D92552"/>
    <w:rsid w:val="00D9263D"/>
    <w:rsid w:val="00D92DAF"/>
    <w:rsid w:val="00D932FD"/>
    <w:rsid w:val="00D9340C"/>
    <w:rsid w:val="00D945F5"/>
    <w:rsid w:val="00D95335"/>
    <w:rsid w:val="00D96FE8"/>
    <w:rsid w:val="00D97BB5"/>
    <w:rsid w:val="00DA03B0"/>
    <w:rsid w:val="00DA03E0"/>
    <w:rsid w:val="00DA0FCD"/>
    <w:rsid w:val="00DA150E"/>
    <w:rsid w:val="00DA29CB"/>
    <w:rsid w:val="00DA36BD"/>
    <w:rsid w:val="00DA4AB4"/>
    <w:rsid w:val="00DA5458"/>
    <w:rsid w:val="00DA565B"/>
    <w:rsid w:val="00DA57A9"/>
    <w:rsid w:val="00DA5C59"/>
    <w:rsid w:val="00DA5EAA"/>
    <w:rsid w:val="00DA6C8F"/>
    <w:rsid w:val="00DA701F"/>
    <w:rsid w:val="00DA74FA"/>
    <w:rsid w:val="00DB05B5"/>
    <w:rsid w:val="00DB1298"/>
    <w:rsid w:val="00DB1631"/>
    <w:rsid w:val="00DB201A"/>
    <w:rsid w:val="00DB3230"/>
    <w:rsid w:val="00DB3916"/>
    <w:rsid w:val="00DB39E6"/>
    <w:rsid w:val="00DB3A49"/>
    <w:rsid w:val="00DB3D9B"/>
    <w:rsid w:val="00DB442C"/>
    <w:rsid w:val="00DB44F1"/>
    <w:rsid w:val="00DB5228"/>
    <w:rsid w:val="00DB5DBF"/>
    <w:rsid w:val="00DB7B2B"/>
    <w:rsid w:val="00DB7E44"/>
    <w:rsid w:val="00DC0E6E"/>
    <w:rsid w:val="00DC1DAD"/>
    <w:rsid w:val="00DC1DB4"/>
    <w:rsid w:val="00DC21CE"/>
    <w:rsid w:val="00DC284F"/>
    <w:rsid w:val="00DC28A5"/>
    <w:rsid w:val="00DC2B97"/>
    <w:rsid w:val="00DC4C14"/>
    <w:rsid w:val="00DC6DF7"/>
    <w:rsid w:val="00DC7951"/>
    <w:rsid w:val="00DD009F"/>
    <w:rsid w:val="00DD070A"/>
    <w:rsid w:val="00DD1147"/>
    <w:rsid w:val="00DD1873"/>
    <w:rsid w:val="00DD26E4"/>
    <w:rsid w:val="00DD2A65"/>
    <w:rsid w:val="00DD2F37"/>
    <w:rsid w:val="00DD3AC5"/>
    <w:rsid w:val="00DD45CD"/>
    <w:rsid w:val="00DD551F"/>
    <w:rsid w:val="00DD5FD8"/>
    <w:rsid w:val="00DD6EF7"/>
    <w:rsid w:val="00DE00D0"/>
    <w:rsid w:val="00DE1747"/>
    <w:rsid w:val="00DE1797"/>
    <w:rsid w:val="00DE282B"/>
    <w:rsid w:val="00DE32D4"/>
    <w:rsid w:val="00DE36E1"/>
    <w:rsid w:val="00DE36ED"/>
    <w:rsid w:val="00DE51B8"/>
    <w:rsid w:val="00DE5A6A"/>
    <w:rsid w:val="00DE5B3F"/>
    <w:rsid w:val="00DE6650"/>
    <w:rsid w:val="00DE6AD1"/>
    <w:rsid w:val="00DE7A0F"/>
    <w:rsid w:val="00DE7D07"/>
    <w:rsid w:val="00DF03D2"/>
    <w:rsid w:val="00DF0962"/>
    <w:rsid w:val="00DF0D76"/>
    <w:rsid w:val="00DF157E"/>
    <w:rsid w:val="00DF1FBE"/>
    <w:rsid w:val="00DF22A9"/>
    <w:rsid w:val="00DF2611"/>
    <w:rsid w:val="00DF31D2"/>
    <w:rsid w:val="00DF34E9"/>
    <w:rsid w:val="00DF51C0"/>
    <w:rsid w:val="00DF55BC"/>
    <w:rsid w:val="00DF6E11"/>
    <w:rsid w:val="00DF7429"/>
    <w:rsid w:val="00DF7872"/>
    <w:rsid w:val="00E00415"/>
    <w:rsid w:val="00E0055B"/>
    <w:rsid w:val="00E01B3C"/>
    <w:rsid w:val="00E020E5"/>
    <w:rsid w:val="00E02DF1"/>
    <w:rsid w:val="00E03F28"/>
    <w:rsid w:val="00E04010"/>
    <w:rsid w:val="00E05126"/>
    <w:rsid w:val="00E0547C"/>
    <w:rsid w:val="00E05BEB"/>
    <w:rsid w:val="00E076BC"/>
    <w:rsid w:val="00E07E31"/>
    <w:rsid w:val="00E11A7F"/>
    <w:rsid w:val="00E12031"/>
    <w:rsid w:val="00E12491"/>
    <w:rsid w:val="00E12655"/>
    <w:rsid w:val="00E12694"/>
    <w:rsid w:val="00E128B3"/>
    <w:rsid w:val="00E133FA"/>
    <w:rsid w:val="00E136B6"/>
    <w:rsid w:val="00E14876"/>
    <w:rsid w:val="00E1537A"/>
    <w:rsid w:val="00E155B4"/>
    <w:rsid w:val="00E15EF4"/>
    <w:rsid w:val="00E17B73"/>
    <w:rsid w:val="00E17C69"/>
    <w:rsid w:val="00E20170"/>
    <w:rsid w:val="00E20342"/>
    <w:rsid w:val="00E209CF"/>
    <w:rsid w:val="00E20A74"/>
    <w:rsid w:val="00E20D8E"/>
    <w:rsid w:val="00E2127B"/>
    <w:rsid w:val="00E21AC0"/>
    <w:rsid w:val="00E224D3"/>
    <w:rsid w:val="00E22E8F"/>
    <w:rsid w:val="00E22F4E"/>
    <w:rsid w:val="00E23871"/>
    <w:rsid w:val="00E254B7"/>
    <w:rsid w:val="00E25781"/>
    <w:rsid w:val="00E25C32"/>
    <w:rsid w:val="00E25C40"/>
    <w:rsid w:val="00E273EB"/>
    <w:rsid w:val="00E278CE"/>
    <w:rsid w:val="00E30B9D"/>
    <w:rsid w:val="00E3234B"/>
    <w:rsid w:val="00E32513"/>
    <w:rsid w:val="00E341FD"/>
    <w:rsid w:val="00E342B9"/>
    <w:rsid w:val="00E366FB"/>
    <w:rsid w:val="00E36ACD"/>
    <w:rsid w:val="00E37279"/>
    <w:rsid w:val="00E40D58"/>
    <w:rsid w:val="00E41413"/>
    <w:rsid w:val="00E41BFA"/>
    <w:rsid w:val="00E420EA"/>
    <w:rsid w:val="00E434FD"/>
    <w:rsid w:val="00E4392E"/>
    <w:rsid w:val="00E43A6F"/>
    <w:rsid w:val="00E4470F"/>
    <w:rsid w:val="00E447C5"/>
    <w:rsid w:val="00E449B5"/>
    <w:rsid w:val="00E46020"/>
    <w:rsid w:val="00E473E2"/>
    <w:rsid w:val="00E50F9B"/>
    <w:rsid w:val="00E51B9D"/>
    <w:rsid w:val="00E51C3D"/>
    <w:rsid w:val="00E534A1"/>
    <w:rsid w:val="00E5350C"/>
    <w:rsid w:val="00E5427A"/>
    <w:rsid w:val="00E54CD2"/>
    <w:rsid w:val="00E55BE1"/>
    <w:rsid w:val="00E56B74"/>
    <w:rsid w:val="00E56F0B"/>
    <w:rsid w:val="00E60369"/>
    <w:rsid w:val="00E603B0"/>
    <w:rsid w:val="00E6071E"/>
    <w:rsid w:val="00E609AD"/>
    <w:rsid w:val="00E614D9"/>
    <w:rsid w:val="00E6197F"/>
    <w:rsid w:val="00E61D4F"/>
    <w:rsid w:val="00E62AE5"/>
    <w:rsid w:val="00E630C1"/>
    <w:rsid w:val="00E65BFB"/>
    <w:rsid w:val="00E65DC2"/>
    <w:rsid w:val="00E65F89"/>
    <w:rsid w:val="00E66C54"/>
    <w:rsid w:val="00E6739A"/>
    <w:rsid w:val="00E673B7"/>
    <w:rsid w:val="00E67F0B"/>
    <w:rsid w:val="00E70260"/>
    <w:rsid w:val="00E70E51"/>
    <w:rsid w:val="00E7192F"/>
    <w:rsid w:val="00E72A20"/>
    <w:rsid w:val="00E72E0A"/>
    <w:rsid w:val="00E73634"/>
    <w:rsid w:val="00E75464"/>
    <w:rsid w:val="00E7596A"/>
    <w:rsid w:val="00E77414"/>
    <w:rsid w:val="00E808AE"/>
    <w:rsid w:val="00E80EDF"/>
    <w:rsid w:val="00E819F1"/>
    <w:rsid w:val="00E8271B"/>
    <w:rsid w:val="00E84103"/>
    <w:rsid w:val="00E847A6"/>
    <w:rsid w:val="00E84C25"/>
    <w:rsid w:val="00E84D1E"/>
    <w:rsid w:val="00E856AF"/>
    <w:rsid w:val="00E859B5"/>
    <w:rsid w:val="00E85DFD"/>
    <w:rsid w:val="00E8653C"/>
    <w:rsid w:val="00E86A2B"/>
    <w:rsid w:val="00E86B99"/>
    <w:rsid w:val="00E86F73"/>
    <w:rsid w:val="00E8721A"/>
    <w:rsid w:val="00E9131F"/>
    <w:rsid w:val="00E92B18"/>
    <w:rsid w:val="00E92B37"/>
    <w:rsid w:val="00E937B3"/>
    <w:rsid w:val="00E93B66"/>
    <w:rsid w:val="00E948A5"/>
    <w:rsid w:val="00E948E1"/>
    <w:rsid w:val="00E9522B"/>
    <w:rsid w:val="00E9597D"/>
    <w:rsid w:val="00E97B51"/>
    <w:rsid w:val="00EA01D8"/>
    <w:rsid w:val="00EA0B8A"/>
    <w:rsid w:val="00EA0C6E"/>
    <w:rsid w:val="00EA1277"/>
    <w:rsid w:val="00EA18BA"/>
    <w:rsid w:val="00EA2611"/>
    <w:rsid w:val="00EA51C5"/>
    <w:rsid w:val="00EA61C6"/>
    <w:rsid w:val="00EA6BD2"/>
    <w:rsid w:val="00EA6F6D"/>
    <w:rsid w:val="00EB0007"/>
    <w:rsid w:val="00EB1B65"/>
    <w:rsid w:val="00EB2015"/>
    <w:rsid w:val="00EB25F6"/>
    <w:rsid w:val="00EB26AC"/>
    <w:rsid w:val="00EB2F53"/>
    <w:rsid w:val="00EB33BA"/>
    <w:rsid w:val="00EB360F"/>
    <w:rsid w:val="00EB3D80"/>
    <w:rsid w:val="00EB3F05"/>
    <w:rsid w:val="00EB4248"/>
    <w:rsid w:val="00EB4C03"/>
    <w:rsid w:val="00EB4FE9"/>
    <w:rsid w:val="00EB5419"/>
    <w:rsid w:val="00EB56B6"/>
    <w:rsid w:val="00EB5BCF"/>
    <w:rsid w:val="00EB5D53"/>
    <w:rsid w:val="00EB63F9"/>
    <w:rsid w:val="00EB6590"/>
    <w:rsid w:val="00EB7272"/>
    <w:rsid w:val="00EC040A"/>
    <w:rsid w:val="00EC073C"/>
    <w:rsid w:val="00EC0ABC"/>
    <w:rsid w:val="00EC1FF2"/>
    <w:rsid w:val="00EC22FA"/>
    <w:rsid w:val="00EC2F4D"/>
    <w:rsid w:val="00EC3F13"/>
    <w:rsid w:val="00EC4192"/>
    <w:rsid w:val="00EC4EDF"/>
    <w:rsid w:val="00EC51C2"/>
    <w:rsid w:val="00EC541B"/>
    <w:rsid w:val="00EC55CF"/>
    <w:rsid w:val="00EC6580"/>
    <w:rsid w:val="00EC79B6"/>
    <w:rsid w:val="00ED0DCD"/>
    <w:rsid w:val="00ED1065"/>
    <w:rsid w:val="00ED1786"/>
    <w:rsid w:val="00ED2332"/>
    <w:rsid w:val="00ED35C6"/>
    <w:rsid w:val="00ED3E7D"/>
    <w:rsid w:val="00ED4D80"/>
    <w:rsid w:val="00ED4E68"/>
    <w:rsid w:val="00ED56DA"/>
    <w:rsid w:val="00ED77D4"/>
    <w:rsid w:val="00EE0F27"/>
    <w:rsid w:val="00EE1579"/>
    <w:rsid w:val="00EE17DC"/>
    <w:rsid w:val="00EE1F4F"/>
    <w:rsid w:val="00EE2669"/>
    <w:rsid w:val="00EE2F9B"/>
    <w:rsid w:val="00EE300D"/>
    <w:rsid w:val="00EE365E"/>
    <w:rsid w:val="00EE3782"/>
    <w:rsid w:val="00EE3E98"/>
    <w:rsid w:val="00EE4028"/>
    <w:rsid w:val="00EE4AEE"/>
    <w:rsid w:val="00EE4DA0"/>
    <w:rsid w:val="00EE5714"/>
    <w:rsid w:val="00EE5CC1"/>
    <w:rsid w:val="00EE6CA3"/>
    <w:rsid w:val="00EE72A7"/>
    <w:rsid w:val="00EE7833"/>
    <w:rsid w:val="00EE7F87"/>
    <w:rsid w:val="00EF0174"/>
    <w:rsid w:val="00EF0606"/>
    <w:rsid w:val="00EF0C44"/>
    <w:rsid w:val="00EF0DD1"/>
    <w:rsid w:val="00EF2DF6"/>
    <w:rsid w:val="00EF379D"/>
    <w:rsid w:val="00EF44AE"/>
    <w:rsid w:val="00EF484C"/>
    <w:rsid w:val="00EF49BA"/>
    <w:rsid w:val="00EF4D54"/>
    <w:rsid w:val="00EF4F3F"/>
    <w:rsid w:val="00EF5515"/>
    <w:rsid w:val="00EF58E8"/>
    <w:rsid w:val="00EF6536"/>
    <w:rsid w:val="00EF65D3"/>
    <w:rsid w:val="00EF74D9"/>
    <w:rsid w:val="00F0042A"/>
    <w:rsid w:val="00F005E9"/>
    <w:rsid w:val="00F00798"/>
    <w:rsid w:val="00F00D4E"/>
    <w:rsid w:val="00F00E7D"/>
    <w:rsid w:val="00F019C2"/>
    <w:rsid w:val="00F02035"/>
    <w:rsid w:val="00F02C57"/>
    <w:rsid w:val="00F03436"/>
    <w:rsid w:val="00F03746"/>
    <w:rsid w:val="00F07369"/>
    <w:rsid w:val="00F11139"/>
    <w:rsid w:val="00F12004"/>
    <w:rsid w:val="00F12B6E"/>
    <w:rsid w:val="00F15BE0"/>
    <w:rsid w:val="00F161EB"/>
    <w:rsid w:val="00F1638D"/>
    <w:rsid w:val="00F16E2F"/>
    <w:rsid w:val="00F16FF9"/>
    <w:rsid w:val="00F20037"/>
    <w:rsid w:val="00F20D21"/>
    <w:rsid w:val="00F212B1"/>
    <w:rsid w:val="00F2176F"/>
    <w:rsid w:val="00F25F47"/>
    <w:rsid w:val="00F25FD9"/>
    <w:rsid w:val="00F2605F"/>
    <w:rsid w:val="00F26092"/>
    <w:rsid w:val="00F26EB2"/>
    <w:rsid w:val="00F308EC"/>
    <w:rsid w:val="00F312F4"/>
    <w:rsid w:val="00F317E8"/>
    <w:rsid w:val="00F322A7"/>
    <w:rsid w:val="00F32781"/>
    <w:rsid w:val="00F32E05"/>
    <w:rsid w:val="00F331EE"/>
    <w:rsid w:val="00F3407A"/>
    <w:rsid w:val="00F344EA"/>
    <w:rsid w:val="00F34966"/>
    <w:rsid w:val="00F35D58"/>
    <w:rsid w:val="00F363A0"/>
    <w:rsid w:val="00F36ADF"/>
    <w:rsid w:val="00F378A0"/>
    <w:rsid w:val="00F4029C"/>
    <w:rsid w:val="00F41AD4"/>
    <w:rsid w:val="00F42940"/>
    <w:rsid w:val="00F42991"/>
    <w:rsid w:val="00F43327"/>
    <w:rsid w:val="00F433CF"/>
    <w:rsid w:val="00F4387D"/>
    <w:rsid w:val="00F43D0D"/>
    <w:rsid w:val="00F445D7"/>
    <w:rsid w:val="00F449A9"/>
    <w:rsid w:val="00F44B4D"/>
    <w:rsid w:val="00F45012"/>
    <w:rsid w:val="00F45024"/>
    <w:rsid w:val="00F45FAB"/>
    <w:rsid w:val="00F4623F"/>
    <w:rsid w:val="00F469D8"/>
    <w:rsid w:val="00F47937"/>
    <w:rsid w:val="00F47A08"/>
    <w:rsid w:val="00F47D4B"/>
    <w:rsid w:val="00F5035E"/>
    <w:rsid w:val="00F508BB"/>
    <w:rsid w:val="00F51621"/>
    <w:rsid w:val="00F51640"/>
    <w:rsid w:val="00F51965"/>
    <w:rsid w:val="00F52B17"/>
    <w:rsid w:val="00F5328A"/>
    <w:rsid w:val="00F532EF"/>
    <w:rsid w:val="00F60E76"/>
    <w:rsid w:val="00F6131F"/>
    <w:rsid w:val="00F61758"/>
    <w:rsid w:val="00F617AC"/>
    <w:rsid w:val="00F623B5"/>
    <w:rsid w:val="00F63027"/>
    <w:rsid w:val="00F635D2"/>
    <w:rsid w:val="00F63678"/>
    <w:rsid w:val="00F6386C"/>
    <w:rsid w:val="00F64EC6"/>
    <w:rsid w:val="00F64EDA"/>
    <w:rsid w:val="00F65166"/>
    <w:rsid w:val="00F651A0"/>
    <w:rsid w:val="00F657CA"/>
    <w:rsid w:val="00F66EC7"/>
    <w:rsid w:val="00F67B86"/>
    <w:rsid w:val="00F67F99"/>
    <w:rsid w:val="00F7143A"/>
    <w:rsid w:val="00F722F8"/>
    <w:rsid w:val="00F723AB"/>
    <w:rsid w:val="00F726DC"/>
    <w:rsid w:val="00F73911"/>
    <w:rsid w:val="00F73D9B"/>
    <w:rsid w:val="00F7446D"/>
    <w:rsid w:val="00F748FE"/>
    <w:rsid w:val="00F74CC2"/>
    <w:rsid w:val="00F77089"/>
    <w:rsid w:val="00F7748A"/>
    <w:rsid w:val="00F77A6A"/>
    <w:rsid w:val="00F77CD7"/>
    <w:rsid w:val="00F817D2"/>
    <w:rsid w:val="00F81A69"/>
    <w:rsid w:val="00F81C4D"/>
    <w:rsid w:val="00F81CCB"/>
    <w:rsid w:val="00F824DC"/>
    <w:rsid w:val="00F83919"/>
    <w:rsid w:val="00F83F34"/>
    <w:rsid w:val="00F84535"/>
    <w:rsid w:val="00F84697"/>
    <w:rsid w:val="00F84FAD"/>
    <w:rsid w:val="00F855E8"/>
    <w:rsid w:val="00F85AC4"/>
    <w:rsid w:val="00F908BD"/>
    <w:rsid w:val="00F90F4D"/>
    <w:rsid w:val="00F91B98"/>
    <w:rsid w:val="00F91F60"/>
    <w:rsid w:val="00F9342B"/>
    <w:rsid w:val="00F95AEE"/>
    <w:rsid w:val="00F96121"/>
    <w:rsid w:val="00F968F6"/>
    <w:rsid w:val="00F96D27"/>
    <w:rsid w:val="00F9710C"/>
    <w:rsid w:val="00F973FC"/>
    <w:rsid w:val="00F974F9"/>
    <w:rsid w:val="00F975D6"/>
    <w:rsid w:val="00F97D48"/>
    <w:rsid w:val="00F97F31"/>
    <w:rsid w:val="00FA05BF"/>
    <w:rsid w:val="00FA1112"/>
    <w:rsid w:val="00FA143C"/>
    <w:rsid w:val="00FA18DA"/>
    <w:rsid w:val="00FA2309"/>
    <w:rsid w:val="00FA2837"/>
    <w:rsid w:val="00FA30E3"/>
    <w:rsid w:val="00FA3187"/>
    <w:rsid w:val="00FA3205"/>
    <w:rsid w:val="00FA38BC"/>
    <w:rsid w:val="00FA441D"/>
    <w:rsid w:val="00FA59D8"/>
    <w:rsid w:val="00FA5B30"/>
    <w:rsid w:val="00FA60D3"/>
    <w:rsid w:val="00FA6773"/>
    <w:rsid w:val="00FA7213"/>
    <w:rsid w:val="00FA7582"/>
    <w:rsid w:val="00FA7859"/>
    <w:rsid w:val="00FA7EB2"/>
    <w:rsid w:val="00FB0841"/>
    <w:rsid w:val="00FB125D"/>
    <w:rsid w:val="00FB2AAB"/>
    <w:rsid w:val="00FB2AC3"/>
    <w:rsid w:val="00FB34E7"/>
    <w:rsid w:val="00FB4962"/>
    <w:rsid w:val="00FB4D5A"/>
    <w:rsid w:val="00FB4D6C"/>
    <w:rsid w:val="00FB5A08"/>
    <w:rsid w:val="00FB5D0E"/>
    <w:rsid w:val="00FB65C8"/>
    <w:rsid w:val="00FB65DF"/>
    <w:rsid w:val="00FB73E9"/>
    <w:rsid w:val="00FC3032"/>
    <w:rsid w:val="00FC4321"/>
    <w:rsid w:val="00FC4D70"/>
    <w:rsid w:val="00FC4FA4"/>
    <w:rsid w:val="00FC5353"/>
    <w:rsid w:val="00FC57AF"/>
    <w:rsid w:val="00FC5EB2"/>
    <w:rsid w:val="00FC68CB"/>
    <w:rsid w:val="00FC7016"/>
    <w:rsid w:val="00FC715A"/>
    <w:rsid w:val="00FC7431"/>
    <w:rsid w:val="00FC7F9B"/>
    <w:rsid w:val="00FD0017"/>
    <w:rsid w:val="00FD0C26"/>
    <w:rsid w:val="00FD1068"/>
    <w:rsid w:val="00FD16EE"/>
    <w:rsid w:val="00FD203B"/>
    <w:rsid w:val="00FD2E84"/>
    <w:rsid w:val="00FD3478"/>
    <w:rsid w:val="00FD3691"/>
    <w:rsid w:val="00FD37F7"/>
    <w:rsid w:val="00FD3CF8"/>
    <w:rsid w:val="00FD5858"/>
    <w:rsid w:val="00FD6146"/>
    <w:rsid w:val="00FD6D7D"/>
    <w:rsid w:val="00FD7130"/>
    <w:rsid w:val="00FD738D"/>
    <w:rsid w:val="00FD73B3"/>
    <w:rsid w:val="00FE16F5"/>
    <w:rsid w:val="00FE2822"/>
    <w:rsid w:val="00FE35FE"/>
    <w:rsid w:val="00FE3668"/>
    <w:rsid w:val="00FE3978"/>
    <w:rsid w:val="00FE4702"/>
    <w:rsid w:val="00FE55BF"/>
    <w:rsid w:val="00FE6023"/>
    <w:rsid w:val="00FE6F72"/>
    <w:rsid w:val="00FE7881"/>
    <w:rsid w:val="00FF076F"/>
    <w:rsid w:val="00FF1ADF"/>
    <w:rsid w:val="00FF1B6A"/>
    <w:rsid w:val="00FF24B7"/>
    <w:rsid w:val="00FF2EB1"/>
    <w:rsid w:val="00FF2F90"/>
    <w:rsid w:val="00FF387C"/>
    <w:rsid w:val="00FF4363"/>
    <w:rsid w:val="00FF46CE"/>
    <w:rsid w:val="00FF500D"/>
    <w:rsid w:val="00FF6E13"/>
    <w:rsid w:val="00FF709C"/>
    <w:rsid w:val="00FF765D"/>
    <w:rsid w:val="28C368A1"/>
    <w:rsid w:val="2FA905F2"/>
    <w:rsid w:val="38A551F2"/>
    <w:rsid w:val="68C31E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36"/>
    <w:semiHidden/>
    <w:unhideWhenUsed/>
    <w:qFormat/>
    <w:uiPriority w:val="99"/>
    <w:rPr>
      <w:rFonts w:ascii="宋体"/>
      <w:sz w:val="18"/>
      <w:szCs w:val="18"/>
    </w:rPr>
  </w:style>
  <w:style w:type="paragraph" w:styleId="3">
    <w:name w:val="Body Text"/>
    <w:basedOn w:val="1"/>
    <w:next w:val="4"/>
    <w:link w:val="37"/>
    <w:unhideWhenUsed/>
    <w:qFormat/>
    <w:uiPriority w:val="99"/>
    <w:rPr>
      <w:rFonts w:ascii="Calibri" w:hAnsi="Calibri" w:cs="Calibri"/>
    </w:rPr>
  </w:style>
  <w:style w:type="paragraph" w:styleId="4">
    <w:name w:val="Body Text Indent"/>
    <w:basedOn w:val="1"/>
    <w:link w:val="38"/>
    <w:semiHidden/>
    <w:unhideWhenUsed/>
    <w:qFormat/>
    <w:uiPriority w:val="99"/>
    <w:pPr>
      <w:spacing w:after="120"/>
      <w:ind w:left="420" w:leftChars="200"/>
    </w:pPr>
  </w:style>
  <w:style w:type="paragraph" w:styleId="5">
    <w:name w:val="Plain Text"/>
    <w:basedOn w:val="1"/>
    <w:link w:val="27"/>
    <w:qFormat/>
    <w:uiPriority w:val="99"/>
    <w:pPr>
      <w:adjustRightInd w:val="0"/>
      <w:spacing w:line="360" w:lineRule="auto"/>
      <w:textAlignment w:val="baseline"/>
    </w:pPr>
    <w:rPr>
      <w:rFonts w:ascii="宋体" w:hAnsi="Courier New" w:cs="宋体"/>
      <w:kern w:val="0"/>
    </w:rPr>
  </w:style>
  <w:style w:type="paragraph" w:styleId="6">
    <w:name w:val="Balloon Text"/>
    <w:basedOn w:val="1"/>
    <w:link w:val="29"/>
    <w:semiHidden/>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35"/>
    <w:qFormat/>
    <w:uiPriority w:val="0"/>
    <w:pPr>
      <w:snapToGrid w:val="0"/>
      <w:spacing w:line="360" w:lineRule="auto"/>
      <w:jc w:val="left"/>
    </w:pPr>
    <w:rPr>
      <w:rFonts w:eastAsia="长城仿宋"/>
      <w:sz w:val="18"/>
      <w:szCs w:val="18"/>
    </w:rPr>
  </w:style>
  <w:style w:type="character" w:styleId="12">
    <w:name w:val="footnote reference"/>
    <w:basedOn w:val="11"/>
    <w:qFormat/>
    <w:uiPriority w:val="0"/>
    <w:rPr>
      <w:rFonts w:eastAsia="仿宋_GB2312"/>
      <w:sz w:val="32"/>
      <w:szCs w:val="32"/>
      <w:vertAlign w:val="superscript"/>
    </w:rPr>
  </w:style>
  <w:style w:type="character" w:customStyle="1" w:styleId="13">
    <w:name w:val="页眉 Char"/>
    <w:basedOn w:val="11"/>
    <w:link w:val="8"/>
    <w:qFormat/>
    <w:locked/>
    <w:uiPriority w:val="99"/>
    <w:rPr>
      <w:rFonts w:eastAsia="宋体"/>
      <w:kern w:val="2"/>
      <w:sz w:val="18"/>
      <w:szCs w:val="18"/>
      <w:lang w:val="en-US" w:eastAsia="zh-CN"/>
    </w:rPr>
  </w:style>
  <w:style w:type="character" w:customStyle="1" w:styleId="14">
    <w:name w:val="页脚 Char"/>
    <w:basedOn w:val="11"/>
    <w:link w:val="7"/>
    <w:qFormat/>
    <w:locked/>
    <w:uiPriority w:val="99"/>
    <w:rPr>
      <w:rFonts w:eastAsia="宋体"/>
      <w:kern w:val="2"/>
      <w:sz w:val="18"/>
      <w:szCs w:val="18"/>
      <w:lang w:val="en-US" w:eastAsia="zh-CN"/>
    </w:rPr>
  </w:style>
  <w:style w:type="paragraph" w:customStyle="1" w:styleId="15">
    <w:name w:val="正文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
    <w:name w:val="Char Char Char Char Char Char Char Char Char Char Char Char Char Char Char Char Char Char Char Char Char Char Char Char Char Char Char Char Char Char Char"/>
    <w:basedOn w:val="1"/>
    <w:qFormat/>
    <w:uiPriority w:val="99"/>
    <w:pPr>
      <w:tabs>
        <w:tab w:val="left" w:pos="1723"/>
      </w:tabs>
      <w:ind w:left="1723" w:hanging="1080"/>
    </w:pPr>
  </w:style>
  <w:style w:type="paragraph" w:customStyle="1" w:styleId="17">
    <w:name w:val="Char"/>
    <w:basedOn w:val="1"/>
    <w:qFormat/>
    <w:uiPriority w:val="99"/>
    <w:pPr>
      <w:tabs>
        <w:tab w:val="left" w:pos="1915"/>
      </w:tabs>
      <w:ind w:left="1915" w:hanging="1275"/>
    </w:pPr>
    <w:rPr>
      <w:sz w:val="24"/>
      <w:szCs w:val="24"/>
    </w:rPr>
  </w:style>
  <w:style w:type="paragraph" w:customStyle="1" w:styleId="18">
    <w:name w:val="Char1"/>
    <w:basedOn w:val="1"/>
    <w:semiHidden/>
    <w:qFormat/>
    <w:uiPriority w:val="99"/>
  </w:style>
  <w:style w:type="paragraph" w:customStyle="1" w:styleId="19">
    <w:name w:val="Char Char Char Char Char Char1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20">
    <w:name w:val="Char Char Char Char Char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1">
    <w:name w:val="p0"/>
    <w:basedOn w:val="1"/>
    <w:qFormat/>
    <w:uiPriority w:val="99"/>
    <w:pPr>
      <w:widowControl/>
    </w:pPr>
    <w:rPr>
      <w:kern w:val="0"/>
    </w:rPr>
  </w:style>
  <w:style w:type="paragraph" w:customStyle="1" w:styleId="22">
    <w:name w:val="Char Char Char Char"/>
    <w:basedOn w:val="1"/>
    <w:qFormat/>
    <w:uiPriority w:val="99"/>
    <w:pPr>
      <w:widowControl/>
      <w:adjustRightInd w:val="0"/>
      <w:spacing w:after="160" w:line="240" w:lineRule="exact"/>
      <w:jc w:val="left"/>
    </w:pPr>
    <w:rPr>
      <w:rFonts w:ascii="仿宋_GB2312" w:hAnsi="宋体" w:eastAsia="仿宋_GB2312" w:cs="仿宋_GB2312"/>
      <w:sz w:val="32"/>
      <w:szCs w:val="32"/>
    </w:rPr>
  </w:style>
  <w:style w:type="paragraph" w:customStyle="1" w:styleId="23">
    <w:name w:val="Char Char Char Char Char Char Char"/>
    <w:basedOn w:val="1"/>
    <w:qFormat/>
    <w:uiPriority w:val="99"/>
    <w:pPr>
      <w:tabs>
        <w:tab w:val="left" w:pos="1723"/>
      </w:tabs>
      <w:ind w:left="1723" w:hanging="1080"/>
    </w:pPr>
  </w:style>
  <w:style w:type="paragraph" w:customStyle="1" w:styleId="24">
    <w:name w:val="Char Char Char Char Char Char Char1"/>
    <w:basedOn w:val="1"/>
    <w:qFormat/>
    <w:uiPriority w:val="99"/>
    <w:rPr>
      <w:rFonts w:eastAsia="仿宋_GB2312"/>
      <w:sz w:val="32"/>
      <w:szCs w:val="32"/>
    </w:rPr>
  </w:style>
  <w:style w:type="paragraph" w:customStyle="1" w:styleId="25">
    <w:name w:val="Char Char"/>
    <w:basedOn w:val="1"/>
    <w:qFormat/>
    <w:uiPriority w:val="99"/>
    <w:pPr>
      <w:tabs>
        <w:tab w:val="left" w:pos="360"/>
      </w:tabs>
    </w:pPr>
    <w:rPr>
      <w:rFonts w:eastAsia="仿宋_GB2312"/>
      <w:sz w:val="32"/>
      <w:szCs w:val="32"/>
    </w:rPr>
  </w:style>
  <w:style w:type="paragraph" w:customStyle="1" w:styleId="26">
    <w:name w:val="Char Char Char Char1"/>
    <w:basedOn w:val="1"/>
    <w:qFormat/>
    <w:uiPriority w:val="99"/>
    <w:pPr>
      <w:widowControl/>
      <w:tabs>
        <w:tab w:val="left" w:pos="780"/>
        <w:tab w:val="left" w:pos="1915"/>
      </w:tabs>
      <w:adjustRightInd w:val="0"/>
      <w:snapToGrid w:val="0"/>
      <w:spacing w:after="200"/>
      <w:ind w:left="780" w:leftChars="200" w:hanging="360" w:hangingChars="200"/>
      <w:jc w:val="left"/>
    </w:pPr>
    <w:rPr>
      <w:rFonts w:ascii="Tahoma" w:hAnsi="Tahoma" w:eastAsia="微软雅黑" w:cs="Tahoma"/>
      <w:kern w:val="0"/>
      <w:sz w:val="22"/>
      <w:szCs w:val="22"/>
    </w:rPr>
  </w:style>
  <w:style w:type="character" w:customStyle="1" w:styleId="27">
    <w:name w:val="纯文本 Char"/>
    <w:basedOn w:val="11"/>
    <w:link w:val="5"/>
    <w:semiHidden/>
    <w:qFormat/>
    <w:uiPriority w:val="99"/>
    <w:rPr>
      <w:rFonts w:ascii="宋体" w:hAnsi="Courier New" w:cs="Courier New"/>
      <w:szCs w:val="21"/>
    </w:rPr>
  </w:style>
  <w:style w:type="paragraph" w:customStyle="1" w:styleId="28">
    <w:name w:val="Char Char Char Char1 Char Char Char Char Char Char Char Char Char Char Char Char Char Char Char Char Char"/>
    <w:basedOn w:val="1"/>
    <w:qFormat/>
    <w:uiPriority w:val="99"/>
    <w:pPr>
      <w:widowControl/>
      <w:spacing w:after="160" w:line="240" w:lineRule="exact"/>
      <w:ind w:firstLine="980" w:firstLineChars="350"/>
      <w:jc w:val="left"/>
    </w:pPr>
    <w:rPr>
      <w:rFonts w:ascii="Verdana" w:hAnsi="Verdana" w:eastAsia="仿宋_GB2312" w:cs="Verdana"/>
      <w:kern w:val="0"/>
      <w:sz w:val="28"/>
      <w:szCs w:val="28"/>
      <w:lang w:eastAsia="en-US"/>
    </w:rPr>
  </w:style>
  <w:style w:type="character" w:customStyle="1" w:styleId="29">
    <w:name w:val="批注框文本 Char"/>
    <w:basedOn w:val="11"/>
    <w:link w:val="6"/>
    <w:semiHidden/>
    <w:qFormat/>
    <w:uiPriority w:val="99"/>
    <w:rPr>
      <w:sz w:val="0"/>
      <w:szCs w:val="0"/>
    </w:rPr>
  </w:style>
  <w:style w:type="paragraph" w:customStyle="1" w:styleId="30">
    <w:name w:val="1"/>
    <w:basedOn w:val="1"/>
    <w:qFormat/>
    <w:uiPriority w:val="99"/>
    <w:pPr>
      <w:snapToGrid w:val="0"/>
      <w:spacing w:line="360" w:lineRule="auto"/>
      <w:ind w:firstLine="200" w:firstLineChars="200"/>
    </w:pPr>
    <w:rPr>
      <w:sz w:val="24"/>
      <w:szCs w:val="24"/>
    </w:rPr>
  </w:style>
  <w:style w:type="paragraph" w:customStyle="1" w:styleId="31">
    <w:name w:val="Char Char Char Char Char Char Char Char1 Char Char Char Char Char Char Char"/>
    <w:basedOn w:val="1"/>
    <w:qFormat/>
    <w:uiPriority w:val="99"/>
    <w:pPr>
      <w:snapToGrid w:val="0"/>
      <w:spacing w:line="360" w:lineRule="auto"/>
      <w:ind w:firstLine="200" w:firstLineChars="200"/>
    </w:pPr>
    <w:rPr>
      <w:sz w:val="24"/>
      <w:szCs w:val="24"/>
    </w:rPr>
  </w:style>
  <w:style w:type="paragraph" w:customStyle="1" w:styleId="32">
    <w:name w:val="Char Char Char Char Char Char Char Char Char Char Char Char Char Char Char Char Char Char Char1"/>
    <w:basedOn w:val="1"/>
    <w:qFormat/>
    <w:uiPriority w:val="99"/>
    <w:pPr>
      <w:widowControl/>
      <w:spacing w:after="160" w:line="240" w:lineRule="exact"/>
      <w:jc w:val="left"/>
    </w:pPr>
    <w:rPr>
      <w:sz w:val="24"/>
      <w:szCs w:val="24"/>
    </w:rPr>
  </w:style>
  <w:style w:type="paragraph" w:customStyle="1" w:styleId="33">
    <w:name w:val="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4">
    <w:name w:val="NormalCharacter"/>
    <w:qFormat/>
    <w:uiPriority w:val="0"/>
  </w:style>
  <w:style w:type="character" w:customStyle="1" w:styleId="35">
    <w:name w:val="脚注文本 Char"/>
    <w:basedOn w:val="11"/>
    <w:link w:val="9"/>
    <w:qFormat/>
    <w:uiPriority w:val="0"/>
    <w:rPr>
      <w:rFonts w:eastAsia="长城仿宋"/>
      <w:kern w:val="2"/>
      <w:sz w:val="18"/>
      <w:szCs w:val="18"/>
    </w:rPr>
  </w:style>
  <w:style w:type="character" w:customStyle="1" w:styleId="36">
    <w:name w:val="文档结构图 Char"/>
    <w:basedOn w:val="11"/>
    <w:link w:val="2"/>
    <w:semiHidden/>
    <w:qFormat/>
    <w:uiPriority w:val="99"/>
    <w:rPr>
      <w:rFonts w:ascii="宋体"/>
      <w:kern w:val="2"/>
      <w:sz w:val="18"/>
      <w:szCs w:val="18"/>
    </w:rPr>
  </w:style>
  <w:style w:type="character" w:customStyle="1" w:styleId="37">
    <w:name w:val="正文文本 Char"/>
    <w:basedOn w:val="11"/>
    <w:link w:val="3"/>
    <w:qFormat/>
    <w:uiPriority w:val="99"/>
    <w:rPr>
      <w:rFonts w:ascii="Calibri" w:hAnsi="Calibri" w:cs="Calibri"/>
      <w:kern w:val="2"/>
      <w:sz w:val="21"/>
      <w:szCs w:val="21"/>
    </w:rPr>
  </w:style>
  <w:style w:type="character" w:customStyle="1" w:styleId="38">
    <w:name w:val="正文文本缩进 Char"/>
    <w:basedOn w:val="11"/>
    <w:link w:val="4"/>
    <w:semiHidden/>
    <w:qFormat/>
    <w:uiPriority w:val="99"/>
    <w:rPr>
      <w:kern w:val="2"/>
      <w:sz w:val="21"/>
      <w:szCs w:val="21"/>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4004F-610A-45CF-A65C-D385185EE66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4551</Words>
  <Characters>414</Characters>
  <Lines>3</Lines>
  <Paragraphs>9</Paragraphs>
  <TotalTime>3</TotalTime>
  <ScaleCrop>false</ScaleCrop>
  <LinksUpToDate>false</LinksUpToDate>
  <CharactersWithSpaces>4956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2022-08-09T04:39:00Z</dcterms:created>
  <dc:creator>姜瑞杭</dc:creator>
  <cp:lastModifiedBy>李文馨</cp:lastModifiedBy>
  <cp:lastPrinted>2022-08-24T09:34:00Z</cp:lastPrinted>
  <dcterms:modified xsi:type="dcterms:W3CDTF">2022-09-15T06:23:24Z</dcterms:modified>
  <dc:title>关于省财政厅2014年上半年工作总结</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C5E783384FBB49BB998A67A84F2DE4CA</vt:lpwstr>
  </property>
</Properties>
</file>